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2B0C0323" w:rsidR="00C539B0" w:rsidRPr="0007631D" w:rsidRDefault="00C539B0" w:rsidP="00C539B0">
      <w:pPr>
        <w:tabs>
          <w:tab w:val="right" w:pos="10000"/>
        </w:tabs>
        <w:spacing w:after="0"/>
        <w:rPr>
          <w:b/>
          <w:sz w:val="24"/>
          <w:szCs w:val="24"/>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B81D1D">
        <w:rPr>
          <w:b/>
          <w:sz w:val="24"/>
          <w:szCs w:val="24"/>
        </w:rPr>
        <w:t>AH-1901</w:t>
      </w:r>
      <w:r w:rsidRPr="0007631D">
        <w:rPr>
          <w:b/>
          <w:sz w:val="24"/>
          <w:szCs w:val="24"/>
        </w:rPr>
        <w:tab/>
        <w:t>R1-</w:t>
      </w:r>
      <w:r w:rsidR="004A0C72">
        <w:rPr>
          <w:b/>
          <w:sz w:val="24"/>
          <w:szCs w:val="24"/>
        </w:rPr>
        <w:t>1900919</w:t>
      </w:r>
    </w:p>
    <w:p w14:paraId="4405AC25" w14:textId="1D8A1C40" w:rsidR="00433B47" w:rsidRPr="0007631D" w:rsidRDefault="004A0C72" w:rsidP="00433B47">
      <w:pPr>
        <w:tabs>
          <w:tab w:val="center" w:pos="4536"/>
          <w:tab w:val="right" w:pos="9072"/>
        </w:tabs>
        <w:spacing w:after="0"/>
        <w:rPr>
          <w:rFonts w:eastAsia="MS Mincho"/>
          <w:b/>
          <w:bCs/>
          <w:sz w:val="24"/>
          <w:szCs w:val="24"/>
          <w:lang w:eastAsia="ja-JP"/>
        </w:rPr>
      </w:pPr>
      <w:r>
        <w:rPr>
          <w:b/>
          <w:bCs/>
          <w:sz w:val="24"/>
          <w:szCs w:val="24"/>
        </w:rPr>
        <w:t>Ja</w:t>
      </w:r>
      <w:r w:rsidR="00B81D1D">
        <w:rPr>
          <w:b/>
          <w:bCs/>
          <w:sz w:val="24"/>
          <w:szCs w:val="24"/>
        </w:rPr>
        <w:t>nuary</w:t>
      </w:r>
      <w:r w:rsidR="003F4789" w:rsidRPr="0007631D">
        <w:rPr>
          <w:b/>
          <w:bCs/>
          <w:sz w:val="24"/>
          <w:szCs w:val="24"/>
        </w:rPr>
        <w:t xml:space="preserve"> </w:t>
      </w:r>
      <w:r w:rsidR="00B81D1D">
        <w:rPr>
          <w:b/>
          <w:bCs/>
          <w:sz w:val="24"/>
          <w:szCs w:val="24"/>
        </w:rPr>
        <w:t>21</w:t>
      </w:r>
      <w:r w:rsidR="00B81D1D">
        <w:rPr>
          <w:b/>
          <w:bCs/>
          <w:sz w:val="24"/>
          <w:szCs w:val="24"/>
          <w:vertAlign w:val="superscript"/>
        </w:rPr>
        <w:t>st</w:t>
      </w:r>
      <w:r w:rsidR="005925C1">
        <w:rPr>
          <w:b/>
          <w:bCs/>
          <w:sz w:val="24"/>
          <w:szCs w:val="24"/>
        </w:rPr>
        <w:t xml:space="preserve"> – </w:t>
      </w:r>
      <w:r w:rsidR="00B81D1D">
        <w:rPr>
          <w:b/>
          <w:bCs/>
          <w:sz w:val="24"/>
          <w:szCs w:val="24"/>
        </w:rPr>
        <w:t>25</w:t>
      </w:r>
      <w:r w:rsidR="005925C1"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635733A8" w:rsidR="00433B47" w:rsidRPr="0007631D" w:rsidRDefault="00B81D1D" w:rsidP="00433B47">
      <w:pPr>
        <w:spacing w:after="0"/>
        <w:jc w:val="both"/>
        <w:rPr>
          <w:b/>
          <w:sz w:val="24"/>
          <w:szCs w:val="24"/>
          <w:lang w:eastAsia="zh-CN"/>
        </w:rPr>
      </w:pPr>
      <w:r>
        <w:rPr>
          <w:b/>
          <w:sz w:val="24"/>
          <w:szCs w:val="24"/>
        </w:rPr>
        <w:t>Taipei, Taiwan</w:t>
      </w:r>
    </w:p>
    <w:p w14:paraId="0FF7EEB0" w14:textId="77777777" w:rsidR="00F15C93" w:rsidRPr="0007631D" w:rsidRDefault="00F15C93" w:rsidP="00F15C93">
      <w:pPr>
        <w:pStyle w:val="Footer"/>
        <w:jc w:val="both"/>
        <w:rPr>
          <w:rFonts w:ascii="Times New Roman" w:hAnsi="Times New Roman"/>
          <w:i w:val="0"/>
          <w:noProof w:val="0"/>
        </w:rPr>
      </w:pPr>
    </w:p>
    <w:p w14:paraId="358C9AA6" w14:textId="61E8FA20"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2807C4">
        <w:rPr>
          <w:b/>
          <w:sz w:val="24"/>
        </w:rPr>
        <w:t>13.1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B7614B2"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2807C4">
        <w:rPr>
          <w:sz w:val="24"/>
        </w:rPr>
        <w:t xml:space="preserve">Uplink Power Control Solutions for NR-NR Dual Connectivity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C03587C" w14:textId="284A9229" w:rsidR="00DB3D84" w:rsidRDefault="00744CE6" w:rsidP="00DB3D84">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uplink power control schemes to support synchronous as well as asynchronous NR-NR dual connectivity (NN-DC):</w:t>
      </w:r>
    </w:p>
    <w:p w14:paraId="5C4B9D52" w14:textId="77777777" w:rsidR="00744CE6" w:rsidRPr="00744CE6" w:rsidRDefault="00744CE6" w:rsidP="008D366B">
      <w:pPr>
        <w:numPr>
          <w:ilvl w:val="0"/>
          <w:numId w:val="5"/>
        </w:numPr>
        <w:spacing w:after="0"/>
        <w:jc w:val="both"/>
        <w:rPr>
          <w:bCs/>
          <w:i/>
        </w:rPr>
      </w:pPr>
      <w:r w:rsidRPr="00744CE6">
        <w:rPr>
          <w:bCs/>
          <w:i/>
        </w:rPr>
        <w:t>Support of asynchronous and synchronous NR-NR Dual Connectivity [RAN1, RAN2, RAN4]</w:t>
      </w:r>
    </w:p>
    <w:p w14:paraId="5BDF2B47" w14:textId="77777777" w:rsidR="00744CE6" w:rsidRPr="00744CE6" w:rsidRDefault="00744CE6" w:rsidP="008D366B">
      <w:pPr>
        <w:numPr>
          <w:ilvl w:val="1"/>
          <w:numId w:val="5"/>
        </w:numPr>
        <w:spacing w:after="0"/>
        <w:jc w:val="both"/>
        <w:rPr>
          <w:bCs/>
          <w:i/>
        </w:rPr>
      </w:pPr>
      <w:r w:rsidRPr="00744CE6">
        <w:rPr>
          <w:bCs/>
          <w:i/>
          <w:highlight w:val="yellow"/>
        </w:rPr>
        <w:t>UE power control</w:t>
      </w:r>
      <w:r w:rsidRPr="00744CE6">
        <w:rPr>
          <w:bCs/>
          <w:i/>
        </w:rPr>
        <w:t xml:space="preserve"> [RAN1]</w:t>
      </w:r>
    </w:p>
    <w:p w14:paraId="1B8C307E" w14:textId="77777777" w:rsidR="00744CE6" w:rsidRPr="00744CE6" w:rsidRDefault="00744CE6" w:rsidP="008D366B">
      <w:pPr>
        <w:numPr>
          <w:ilvl w:val="1"/>
          <w:numId w:val="5"/>
        </w:numPr>
        <w:spacing w:after="0"/>
        <w:jc w:val="both"/>
        <w:rPr>
          <w:bCs/>
          <w:i/>
        </w:rPr>
      </w:pPr>
      <w:r w:rsidRPr="00744CE6">
        <w:rPr>
          <w:bCs/>
          <w:i/>
        </w:rPr>
        <w:t xml:space="preserve">RRC </w:t>
      </w:r>
      <w:proofErr w:type="spellStart"/>
      <w:r w:rsidRPr="00744CE6">
        <w:rPr>
          <w:bCs/>
          <w:i/>
        </w:rPr>
        <w:t>signalling</w:t>
      </w:r>
      <w:proofErr w:type="spellEnd"/>
      <w:r w:rsidRPr="00744CE6">
        <w:rPr>
          <w:bCs/>
          <w:i/>
        </w:rPr>
        <w:t xml:space="preserve"> to support of enhanced NR-NR DC [RAN2]</w:t>
      </w:r>
    </w:p>
    <w:p w14:paraId="6C2D0240" w14:textId="77777777" w:rsidR="00744CE6" w:rsidRPr="00744CE6" w:rsidRDefault="00744CE6" w:rsidP="008D366B">
      <w:pPr>
        <w:numPr>
          <w:ilvl w:val="1"/>
          <w:numId w:val="5"/>
        </w:numPr>
        <w:spacing w:after="0"/>
        <w:jc w:val="both"/>
        <w:rPr>
          <w:bCs/>
          <w:i/>
        </w:rPr>
      </w:pPr>
      <w:r w:rsidRPr="00744CE6">
        <w:rPr>
          <w:bCs/>
          <w:i/>
        </w:rPr>
        <w:t>Core requirements to support enhanced NR-NR DC [RAN4]</w:t>
      </w:r>
    </w:p>
    <w:p w14:paraId="4FD5E8AA" w14:textId="1D9A5A47" w:rsidR="00744CE6" w:rsidRDefault="00744CE6" w:rsidP="00E43F64">
      <w:pPr>
        <w:spacing w:after="0"/>
        <w:ind w:left="360"/>
        <w:jc w:val="both"/>
        <w:rPr>
          <w:bCs/>
          <w:i/>
        </w:rPr>
      </w:pPr>
      <w:r w:rsidRPr="00744CE6">
        <w:rPr>
          <w:bCs/>
          <w:i/>
        </w:rPr>
        <w:t xml:space="preserve">Note: Synchronous DC enhancements in this WID considers only cases not covered in Rel-15 exception sheet for NR WI </w:t>
      </w:r>
      <w:proofErr w:type="spellStart"/>
      <w:r w:rsidRPr="00744CE6">
        <w:rPr>
          <w:bCs/>
          <w:i/>
        </w:rPr>
        <w:t>NR_newRAT</w:t>
      </w:r>
      <w:proofErr w:type="spellEnd"/>
      <w:r w:rsidRPr="00744CE6">
        <w:rPr>
          <w:bCs/>
          <w:i/>
        </w:rPr>
        <w:t xml:space="preserve">-Core. </w:t>
      </w:r>
    </w:p>
    <w:p w14:paraId="45862AC3" w14:textId="77777777" w:rsidR="00E43F64" w:rsidRPr="00E43F64" w:rsidRDefault="00E43F64" w:rsidP="00E43F64">
      <w:pPr>
        <w:spacing w:after="0"/>
        <w:ind w:left="360"/>
        <w:jc w:val="both"/>
        <w:rPr>
          <w:bCs/>
          <w:i/>
        </w:rPr>
      </w:pPr>
    </w:p>
    <w:p w14:paraId="4978E6D7" w14:textId="4517C404" w:rsidR="00744CE6" w:rsidRDefault="00E46411" w:rsidP="00DB3D84">
      <w:pPr>
        <w:jc w:val="both"/>
        <w:rPr>
          <w:rFonts w:asciiTheme="majorBidi" w:hAnsiTheme="majorBidi" w:cstheme="majorBidi"/>
          <w:bCs/>
          <w:iCs/>
        </w:rPr>
      </w:pPr>
      <w:r>
        <w:rPr>
          <w:rFonts w:asciiTheme="majorBidi" w:hAnsiTheme="majorBidi" w:cstheme="majorBidi"/>
          <w:bCs/>
          <w:iCs/>
        </w:rPr>
        <w:t xml:space="preserve">In </w:t>
      </w:r>
      <w:r w:rsidR="00E43F64">
        <w:rPr>
          <w:rFonts w:asciiTheme="majorBidi" w:hAnsiTheme="majorBidi" w:cstheme="majorBidi"/>
          <w:bCs/>
          <w:iCs/>
        </w:rPr>
        <w:t xml:space="preserve">this section, we first briefly summarize the CA and DC power control schemes adopted in </w:t>
      </w:r>
      <w:r w:rsidR="000A32AA">
        <w:rPr>
          <w:rFonts w:asciiTheme="majorBidi" w:hAnsiTheme="majorBidi" w:cstheme="majorBidi"/>
          <w:bCs/>
          <w:iCs/>
        </w:rPr>
        <w:t xml:space="preserve">NR </w:t>
      </w:r>
      <w:r w:rsidR="00E43F64">
        <w:rPr>
          <w:rFonts w:asciiTheme="majorBidi" w:hAnsiTheme="majorBidi" w:cstheme="majorBidi"/>
          <w:bCs/>
          <w:iCs/>
        </w:rPr>
        <w:t xml:space="preserve">Rel. </w:t>
      </w:r>
      <w:proofErr w:type="gramStart"/>
      <w:r w:rsidR="00E43F64">
        <w:rPr>
          <w:rFonts w:asciiTheme="majorBidi" w:hAnsiTheme="majorBidi" w:cstheme="majorBidi"/>
          <w:bCs/>
          <w:iCs/>
        </w:rPr>
        <w:t>15, and</w:t>
      </w:r>
      <w:proofErr w:type="gramEnd"/>
      <w:r w:rsidR="00E43F64">
        <w:rPr>
          <w:rFonts w:asciiTheme="majorBidi" w:hAnsiTheme="majorBidi" w:cstheme="majorBidi"/>
          <w:bCs/>
          <w:iCs/>
        </w:rPr>
        <w:t xml:space="preserve"> mention their core differences with the scenario of interest in Rel. 16</w:t>
      </w:r>
      <w:r w:rsidR="000A32AA">
        <w:rPr>
          <w:rFonts w:asciiTheme="majorBidi" w:hAnsiTheme="majorBidi" w:cstheme="majorBidi"/>
          <w:bCs/>
          <w:iCs/>
        </w:rPr>
        <w:t xml:space="preserve"> dual connectivity</w:t>
      </w:r>
      <w:r w:rsidR="00E43F64">
        <w:rPr>
          <w:rFonts w:asciiTheme="majorBidi" w:hAnsiTheme="majorBidi" w:cstheme="majorBidi"/>
          <w:bCs/>
          <w:iCs/>
        </w:rPr>
        <w:t>. The next section then presents one viable solution for managing uplink power control for NN-DC in Rel. 16 NR.</w:t>
      </w:r>
    </w:p>
    <w:p w14:paraId="1B08BD39" w14:textId="0862B16F" w:rsidR="00744CE6" w:rsidRDefault="00E43F64" w:rsidP="00DB3D84">
      <w:pPr>
        <w:jc w:val="both"/>
        <w:rPr>
          <w:rFonts w:asciiTheme="majorBidi" w:hAnsiTheme="majorBidi" w:cstheme="majorBidi"/>
          <w:bCs/>
          <w:iCs/>
        </w:rPr>
      </w:pPr>
      <w:r>
        <w:rPr>
          <w:rFonts w:asciiTheme="majorBidi" w:hAnsiTheme="majorBidi" w:cstheme="majorBidi"/>
          <w:bCs/>
          <w:iCs/>
        </w:rPr>
        <w:t>In Rel. 15 NR, power control schemes for the following deployment scenarios were introduced:</w:t>
      </w:r>
    </w:p>
    <w:p w14:paraId="4D3D9A7C" w14:textId="5F2E3B88" w:rsidR="0079386A" w:rsidRPr="007E0316" w:rsidRDefault="0079386A"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NN-DC with one cell group fully in FR1 and one cell group fully in FR2</w:t>
      </w:r>
    </w:p>
    <w:p w14:paraId="72390F5A" w14:textId="6F7038B1"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NR carrier aggregation</w:t>
      </w:r>
    </w:p>
    <w:p w14:paraId="21D9E31D" w14:textId="6D395B44"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 xml:space="preserve">EUTRA and NR dual connectivity </w:t>
      </w:r>
      <w:r w:rsidR="00C73C06" w:rsidRPr="007E0316">
        <w:rPr>
          <w:rFonts w:asciiTheme="majorBidi" w:hAnsiTheme="majorBidi" w:cstheme="majorBidi"/>
          <w:bCs/>
          <w:iCs/>
          <w:sz w:val="20"/>
        </w:rPr>
        <w:t>(EN/NE-</w:t>
      </w:r>
      <w:r w:rsidR="00685FC0" w:rsidRPr="007E0316">
        <w:rPr>
          <w:rFonts w:asciiTheme="majorBidi" w:hAnsiTheme="majorBidi" w:cstheme="majorBidi"/>
          <w:bCs/>
          <w:iCs/>
          <w:sz w:val="20"/>
        </w:rPr>
        <w:t>DC)</w:t>
      </w:r>
      <w:r w:rsidRPr="007E0316">
        <w:rPr>
          <w:rFonts w:asciiTheme="majorBidi" w:hAnsiTheme="majorBidi" w:cstheme="majorBidi"/>
          <w:bCs/>
          <w:iCs/>
          <w:sz w:val="20"/>
        </w:rPr>
        <w:t xml:space="preserve"> </w:t>
      </w:r>
    </w:p>
    <w:p w14:paraId="62ADCFD0" w14:textId="55AFEE29" w:rsidR="00E43F64" w:rsidRDefault="00E43F64" w:rsidP="00214148">
      <w:pPr>
        <w:jc w:val="both"/>
        <w:rPr>
          <w:rFonts w:asciiTheme="majorBidi" w:hAnsiTheme="majorBidi" w:cstheme="majorBidi"/>
          <w:bCs/>
          <w:iCs/>
        </w:rPr>
      </w:pPr>
    </w:p>
    <w:p w14:paraId="59506E4A" w14:textId="7AC6F877" w:rsidR="00214148" w:rsidRDefault="00214148" w:rsidP="00214148">
      <w:pPr>
        <w:jc w:val="both"/>
        <w:rPr>
          <w:rFonts w:asciiTheme="majorBidi" w:hAnsiTheme="majorBidi" w:cstheme="majorBidi"/>
          <w:bCs/>
          <w:iCs/>
        </w:rPr>
      </w:pPr>
      <w:r>
        <w:rPr>
          <w:rFonts w:asciiTheme="majorBidi" w:hAnsiTheme="majorBidi" w:cstheme="majorBidi"/>
          <w:bCs/>
          <w:iCs/>
        </w:rPr>
        <w:t>As mentioned, the Rel. 15 NN-DC deployment considers the case where all the serving cells of one cell group are fully in FR1, while all the serving cells of the other cell group are fully contained in FR2. Since there is no maximum power limit defined across the cells in FR1 and FR2,</w:t>
      </w:r>
      <w:r w:rsidR="00444B5E">
        <w:rPr>
          <w:rFonts w:asciiTheme="majorBidi" w:hAnsiTheme="majorBidi" w:cstheme="majorBidi"/>
          <w:bCs/>
          <w:iCs/>
        </w:rPr>
        <w:t xml:space="preserve"> the UE performs uplink power control independently across the two cell groups. However, the scenario of interest for </w:t>
      </w:r>
      <w:r w:rsidR="00A423FC">
        <w:rPr>
          <w:rFonts w:asciiTheme="majorBidi" w:hAnsiTheme="majorBidi" w:cstheme="majorBidi"/>
          <w:bCs/>
          <w:iCs/>
        </w:rPr>
        <w:t xml:space="preserve">NR Rel. 16 </w:t>
      </w:r>
      <w:r w:rsidR="00444B5E">
        <w:rPr>
          <w:rFonts w:asciiTheme="majorBidi" w:hAnsiTheme="majorBidi" w:cstheme="majorBidi"/>
          <w:bCs/>
          <w:iCs/>
        </w:rPr>
        <w:t xml:space="preserve">includes the deployments, where both cell groups contain </w:t>
      </w:r>
      <w:r w:rsidR="00A423FC">
        <w:rPr>
          <w:rFonts w:asciiTheme="majorBidi" w:hAnsiTheme="majorBidi" w:cstheme="majorBidi"/>
          <w:bCs/>
          <w:iCs/>
        </w:rPr>
        <w:t xml:space="preserve">only </w:t>
      </w:r>
      <w:r w:rsidR="00444B5E">
        <w:rPr>
          <w:rFonts w:asciiTheme="majorBidi" w:hAnsiTheme="majorBidi" w:cstheme="majorBidi"/>
          <w:bCs/>
          <w:iCs/>
        </w:rPr>
        <w:t>serving cells</w:t>
      </w:r>
      <w:r w:rsidR="00A423FC">
        <w:rPr>
          <w:rFonts w:asciiTheme="majorBidi" w:hAnsiTheme="majorBidi" w:cstheme="majorBidi"/>
          <w:bCs/>
          <w:iCs/>
        </w:rPr>
        <w:t xml:space="preserve"> in FR1 or in FR2. </w:t>
      </w:r>
      <w:r w:rsidR="00A423FC" w:rsidRPr="007A33CA">
        <w:rPr>
          <w:rFonts w:asciiTheme="majorBidi" w:hAnsiTheme="majorBidi" w:cstheme="majorBidi"/>
          <w:bCs/>
          <w:iCs/>
        </w:rPr>
        <w:t>Hence, joint maximum power limitation may be considered.</w:t>
      </w:r>
      <w:r w:rsidR="00444B5E">
        <w:rPr>
          <w:rFonts w:asciiTheme="majorBidi" w:hAnsiTheme="majorBidi" w:cstheme="majorBidi"/>
          <w:bCs/>
          <w:iCs/>
        </w:rPr>
        <w:t xml:space="preserve"> </w:t>
      </w:r>
      <w:r>
        <w:rPr>
          <w:rFonts w:asciiTheme="majorBidi" w:hAnsiTheme="majorBidi" w:cstheme="majorBidi"/>
          <w:bCs/>
          <w:iCs/>
        </w:rPr>
        <w:t xml:space="preserve"> </w:t>
      </w:r>
    </w:p>
    <w:p w14:paraId="086C7A49" w14:textId="77473D24" w:rsidR="004D6DFF" w:rsidRDefault="0036619F" w:rsidP="00214148">
      <w:pPr>
        <w:jc w:val="both"/>
        <w:rPr>
          <w:rFonts w:asciiTheme="majorBidi" w:hAnsiTheme="majorBidi" w:cstheme="majorBidi"/>
          <w:bCs/>
          <w:iCs/>
        </w:rPr>
      </w:pPr>
      <w:r>
        <w:rPr>
          <w:rFonts w:asciiTheme="majorBidi" w:hAnsiTheme="majorBidi" w:cstheme="majorBidi"/>
          <w:bCs/>
          <w:iCs/>
        </w:rPr>
        <w:t xml:space="preserve">For NR-CA, the uplink power control is decided on a per occasion basis. At </w:t>
      </w:r>
      <w:r w:rsidR="004D6DFF">
        <w:rPr>
          <w:rFonts w:asciiTheme="majorBidi" w:hAnsiTheme="majorBidi" w:cstheme="majorBidi"/>
          <w:bCs/>
          <w:iCs/>
        </w:rPr>
        <w:t>each occasion, the UE considers</w:t>
      </w:r>
      <w:r>
        <w:rPr>
          <w:rFonts w:asciiTheme="majorBidi" w:hAnsiTheme="majorBidi" w:cstheme="majorBidi"/>
          <w:bCs/>
          <w:iCs/>
        </w:rPr>
        <w:t xml:space="preserve"> the overlapping channel</w:t>
      </w:r>
      <w:r w:rsidR="004D6DFF">
        <w:rPr>
          <w:rFonts w:asciiTheme="majorBidi" w:hAnsiTheme="majorBidi" w:cstheme="majorBidi"/>
          <w:bCs/>
          <w:iCs/>
        </w:rPr>
        <w:t>s</w:t>
      </w:r>
      <w:r>
        <w:rPr>
          <w:rFonts w:asciiTheme="majorBidi" w:hAnsiTheme="majorBidi" w:cstheme="majorBidi"/>
          <w:bCs/>
          <w:iCs/>
        </w:rPr>
        <w:t>, their requested power</w:t>
      </w:r>
      <w:r w:rsidR="004D6DFF">
        <w:rPr>
          <w:rFonts w:asciiTheme="majorBidi" w:hAnsiTheme="majorBidi" w:cstheme="majorBidi"/>
          <w:bCs/>
          <w:iCs/>
        </w:rPr>
        <w:t>s</w:t>
      </w:r>
      <w:r>
        <w:rPr>
          <w:rFonts w:asciiTheme="majorBidi" w:hAnsiTheme="majorBidi" w:cstheme="majorBidi"/>
          <w:bCs/>
          <w:iCs/>
        </w:rPr>
        <w:t xml:space="preserve"> and their priorities. If the sum power across all serving cells is beyond the maximum allowed power, the uplink power for some channels</w:t>
      </w:r>
      <w:r w:rsidR="007A33CA">
        <w:rPr>
          <w:rFonts w:asciiTheme="majorBidi" w:hAnsiTheme="majorBidi" w:cstheme="majorBidi"/>
          <w:bCs/>
          <w:iCs/>
        </w:rPr>
        <w:t>, based on the priority,</w:t>
      </w:r>
      <w:r>
        <w:rPr>
          <w:rFonts w:asciiTheme="majorBidi" w:hAnsiTheme="majorBidi" w:cstheme="majorBidi"/>
          <w:bCs/>
          <w:iCs/>
        </w:rPr>
        <w:t xml:space="preserve"> should be scaled down. Hence, some uplink channels may experience phase discontinuity. However, it should be noted that whether the channels </w:t>
      </w:r>
      <w:proofErr w:type="gramStart"/>
      <w:r>
        <w:rPr>
          <w:rFonts w:asciiTheme="majorBidi" w:hAnsiTheme="majorBidi" w:cstheme="majorBidi"/>
          <w:bCs/>
          <w:iCs/>
        </w:rPr>
        <w:t>overlap</w:t>
      </w:r>
      <w:proofErr w:type="gramEnd"/>
      <w:r>
        <w:rPr>
          <w:rFonts w:asciiTheme="majorBidi" w:hAnsiTheme="majorBidi" w:cstheme="majorBidi"/>
          <w:bCs/>
          <w:iCs/>
        </w:rPr>
        <w:t xml:space="preserve"> or experience phase discontinuity is controlled by the </w:t>
      </w:r>
      <w:proofErr w:type="spellStart"/>
      <w:r>
        <w:rPr>
          <w:rFonts w:asciiTheme="majorBidi" w:hAnsiTheme="majorBidi" w:cstheme="majorBidi"/>
          <w:bCs/>
          <w:iCs/>
        </w:rPr>
        <w:t>gNB</w:t>
      </w:r>
      <w:proofErr w:type="spellEnd"/>
      <w:r>
        <w:rPr>
          <w:rFonts w:asciiTheme="majorBidi" w:hAnsiTheme="majorBidi" w:cstheme="majorBidi"/>
          <w:bCs/>
          <w:iCs/>
        </w:rPr>
        <w:t xml:space="preserve">; all serving cells are managed by a single </w:t>
      </w:r>
      <w:proofErr w:type="spellStart"/>
      <w:r>
        <w:rPr>
          <w:rFonts w:asciiTheme="majorBidi" w:hAnsiTheme="majorBidi" w:cstheme="majorBidi"/>
          <w:bCs/>
          <w:iCs/>
        </w:rPr>
        <w:t>gNB</w:t>
      </w:r>
      <w:proofErr w:type="spellEnd"/>
      <w:r>
        <w:rPr>
          <w:rFonts w:asciiTheme="majorBidi" w:hAnsiTheme="majorBidi" w:cstheme="majorBidi"/>
          <w:bCs/>
          <w:iCs/>
        </w:rPr>
        <w:t xml:space="preserve">. On the contrary, in a dual-connectivity deployment, the </w:t>
      </w:r>
      <w:proofErr w:type="spellStart"/>
      <w:r>
        <w:rPr>
          <w:rFonts w:asciiTheme="majorBidi" w:hAnsiTheme="majorBidi" w:cstheme="majorBidi"/>
          <w:bCs/>
          <w:iCs/>
        </w:rPr>
        <w:t>gNBs</w:t>
      </w:r>
      <w:proofErr w:type="spellEnd"/>
      <w:r>
        <w:rPr>
          <w:rFonts w:asciiTheme="majorBidi" w:hAnsiTheme="majorBidi" w:cstheme="majorBidi"/>
          <w:bCs/>
          <w:iCs/>
        </w:rPr>
        <w:t xml:space="preserve"> may not be aware of each other’s </w:t>
      </w:r>
      <w:r w:rsidR="004D6DFF">
        <w:rPr>
          <w:rFonts w:asciiTheme="majorBidi" w:hAnsiTheme="majorBidi" w:cstheme="majorBidi"/>
          <w:bCs/>
          <w:iCs/>
        </w:rPr>
        <w:t xml:space="preserve">scheduling </w:t>
      </w:r>
      <w:r>
        <w:rPr>
          <w:rFonts w:asciiTheme="majorBidi" w:hAnsiTheme="majorBidi" w:cstheme="majorBidi"/>
          <w:bCs/>
          <w:iCs/>
        </w:rPr>
        <w:t xml:space="preserve">decisions; hence, uplink channels might be interrupted even without the associated </w:t>
      </w:r>
      <w:proofErr w:type="spellStart"/>
      <w:r>
        <w:rPr>
          <w:rFonts w:asciiTheme="majorBidi" w:hAnsiTheme="majorBidi" w:cstheme="majorBidi"/>
          <w:bCs/>
          <w:iCs/>
        </w:rPr>
        <w:t>gNB</w:t>
      </w:r>
      <w:proofErr w:type="spellEnd"/>
      <w:r>
        <w:rPr>
          <w:rFonts w:asciiTheme="majorBidi" w:hAnsiTheme="majorBidi" w:cstheme="majorBidi"/>
          <w:bCs/>
          <w:iCs/>
        </w:rPr>
        <w:t xml:space="preserve"> knows about it </w:t>
      </w:r>
      <w:r w:rsidR="004D6DFF">
        <w:rPr>
          <w:rFonts w:asciiTheme="majorBidi" w:hAnsiTheme="majorBidi" w:cstheme="majorBidi"/>
          <w:bCs/>
          <w:iCs/>
        </w:rPr>
        <w:t>or has an option to avoid it. Taking this key difference between CA and DC into account,</w:t>
      </w:r>
      <w:r>
        <w:rPr>
          <w:rFonts w:asciiTheme="majorBidi" w:hAnsiTheme="majorBidi" w:cstheme="majorBidi"/>
          <w:bCs/>
          <w:iCs/>
        </w:rPr>
        <w:t xml:space="preserve"> the uplink power control for Rel. 16 NN-DC shou</w:t>
      </w:r>
      <w:r w:rsidR="004D6DFF">
        <w:rPr>
          <w:rFonts w:asciiTheme="majorBidi" w:hAnsiTheme="majorBidi" w:cstheme="majorBidi"/>
          <w:bCs/>
          <w:iCs/>
        </w:rPr>
        <w:t>ld guarantee that the uplink transmissions for each cell group will not be interrupted due to a transmission in another cell group to the extent possible.</w:t>
      </w:r>
    </w:p>
    <w:p w14:paraId="2CAC5B28" w14:textId="1392AA0C" w:rsidR="004D6DFF" w:rsidRDefault="004D6DFF" w:rsidP="00214148">
      <w:pPr>
        <w:jc w:val="both"/>
        <w:rPr>
          <w:rFonts w:asciiTheme="majorBidi" w:hAnsiTheme="majorBidi" w:cstheme="majorBidi"/>
          <w:bCs/>
          <w:iCs/>
        </w:rPr>
      </w:pPr>
      <w:r>
        <w:rPr>
          <w:rFonts w:asciiTheme="majorBidi" w:hAnsiTheme="majorBidi" w:cstheme="majorBidi"/>
          <w:bCs/>
          <w:iCs/>
        </w:rPr>
        <w:t xml:space="preserve">Finally, the uplink power control </w:t>
      </w:r>
      <w:r w:rsidR="004A2A0F">
        <w:rPr>
          <w:rFonts w:asciiTheme="majorBidi" w:hAnsiTheme="majorBidi" w:cstheme="majorBidi"/>
          <w:bCs/>
          <w:iCs/>
        </w:rPr>
        <w:t xml:space="preserve">schemes </w:t>
      </w:r>
      <w:r>
        <w:rPr>
          <w:rFonts w:asciiTheme="majorBidi" w:hAnsiTheme="majorBidi" w:cstheme="majorBidi"/>
          <w:bCs/>
          <w:iCs/>
        </w:rPr>
        <w:t xml:space="preserve">devised for EN-DC and NE-DC in NR Rel. 15 </w:t>
      </w:r>
      <w:r w:rsidR="004A2A0F">
        <w:rPr>
          <w:rFonts w:asciiTheme="majorBidi" w:hAnsiTheme="majorBidi" w:cstheme="majorBidi"/>
          <w:bCs/>
          <w:iCs/>
        </w:rPr>
        <w:t xml:space="preserve">rely on a fact that LTE has a longer processing delay than NR. Hence, </w:t>
      </w:r>
      <w:r w:rsidR="00E42E71">
        <w:rPr>
          <w:rFonts w:asciiTheme="majorBidi" w:hAnsiTheme="majorBidi" w:cstheme="majorBidi"/>
          <w:bCs/>
          <w:iCs/>
        </w:rPr>
        <w:t>for EN-DC (where LTE has a higher priority), the NR transmission power should be controlled to meet the max. al</w:t>
      </w:r>
      <w:r w:rsidR="00AF0C50">
        <w:rPr>
          <w:rFonts w:asciiTheme="majorBidi" w:hAnsiTheme="majorBidi" w:cstheme="majorBidi"/>
          <w:bCs/>
          <w:iCs/>
        </w:rPr>
        <w:t>lowed power limit when colliding</w:t>
      </w:r>
      <w:r w:rsidR="00E42E71">
        <w:rPr>
          <w:rFonts w:asciiTheme="majorBidi" w:hAnsiTheme="majorBidi" w:cstheme="majorBidi"/>
          <w:bCs/>
          <w:iCs/>
        </w:rPr>
        <w:t xml:space="preserve"> with an LTE channel. For NE-DC (where NR has a higher priority), the LTE maximum allowed power is controlled semi-statically</w:t>
      </w:r>
      <w:r w:rsidR="003008A2">
        <w:rPr>
          <w:rFonts w:asciiTheme="majorBidi" w:hAnsiTheme="majorBidi" w:cstheme="majorBidi"/>
          <w:bCs/>
          <w:iCs/>
        </w:rPr>
        <w:t xml:space="preserve"> depending on whether </w:t>
      </w:r>
      <w:r w:rsidR="0045722A">
        <w:rPr>
          <w:rFonts w:asciiTheme="majorBidi" w:hAnsiTheme="majorBidi" w:cstheme="majorBidi"/>
          <w:bCs/>
          <w:iCs/>
        </w:rPr>
        <w:t xml:space="preserve">collision can potentially take place or not; however, when collision happens and the required power across the serving cells is larger than the joint power </w:t>
      </w:r>
      <w:r w:rsidR="0045722A">
        <w:rPr>
          <w:rFonts w:asciiTheme="majorBidi" w:hAnsiTheme="majorBidi" w:cstheme="majorBidi"/>
          <w:bCs/>
          <w:iCs/>
        </w:rPr>
        <w:lastRenderedPageBreak/>
        <w:t>constraint, the power of the NR channels should be scaled down.</w:t>
      </w:r>
      <w:r w:rsidR="00E42E71">
        <w:rPr>
          <w:rFonts w:asciiTheme="majorBidi" w:hAnsiTheme="majorBidi" w:cstheme="majorBidi"/>
          <w:bCs/>
          <w:iCs/>
        </w:rPr>
        <w:t xml:space="preserve"> </w:t>
      </w:r>
      <w:r w:rsidR="007562DE">
        <w:rPr>
          <w:rFonts w:asciiTheme="majorBidi" w:hAnsiTheme="majorBidi" w:cstheme="majorBidi"/>
          <w:bCs/>
          <w:iCs/>
        </w:rPr>
        <w:t xml:space="preserve">In Rel. 16 NN-DC, </w:t>
      </w:r>
      <w:r w:rsidR="0045722A">
        <w:rPr>
          <w:rFonts w:asciiTheme="majorBidi" w:hAnsiTheme="majorBidi" w:cstheme="majorBidi"/>
          <w:bCs/>
          <w:iCs/>
        </w:rPr>
        <w:t>on the other hand</w:t>
      </w:r>
      <w:r w:rsidR="007562DE">
        <w:rPr>
          <w:rFonts w:asciiTheme="majorBidi" w:hAnsiTheme="majorBidi" w:cstheme="majorBidi"/>
          <w:bCs/>
          <w:iCs/>
        </w:rPr>
        <w:t xml:space="preserve">, </w:t>
      </w:r>
      <w:r w:rsidR="00B279FF">
        <w:rPr>
          <w:rFonts w:asciiTheme="majorBidi" w:hAnsiTheme="majorBidi" w:cstheme="majorBidi"/>
          <w:bCs/>
          <w:iCs/>
        </w:rPr>
        <w:t>the UE has comparable processing latency on both cell grou</w:t>
      </w:r>
      <w:r w:rsidR="0045722A">
        <w:rPr>
          <w:rFonts w:asciiTheme="majorBidi" w:hAnsiTheme="majorBidi" w:cstheme="majorBidi"/>
          <w:bCs/>
          <w:iCs/>
        </w:rPr>
        <w:t>ps. In other words</w:t>
      </w:r>
      <w:r w:rsidR="00B279FF">
        <w:rPr>
          <w:rFonts w:asciiTheme="majorBidi" w:hAnsiTheme="majorBidi" w:cstheme="majorBidi"/>
          <w:bCs/>
          <w:iCs/>
        </w:rPr>
        <w:t>, it is not possible to as</w:t>
      </w:r>
      <w:r w:rsidR="0054016B">
        <w:rPr>
          <w:rFonts w:asciiTheme="majorBidi" w:hAnsiTheme="majorBidi" w:cstheme="majorBidi"/>
          <w:bCs/>
          <w:iCs/>
        </w:rPr>
        <w:t>sume that uplink transmissions i</w:t>
      </w:r>
      <w:r w:rsidR="00B279FF">
        <w:rPr>
          <w:rFonts w:asciiTheme="majorBidi" w:hAnsiTheme="majorBidi" w:cstheme="majorBidi"/>
          <w:bCs/>
          <w:iCs/>
        </w:rPr>
        <w:t xml:space="preserve">n one cell group can always be dynamically power controlled to ensure meeting the maximum power limitation. </w:t>
      </w:r>
    </w:p>
    <w:p w14:paraId="49A243CF" w14:textId="6830F291" w:rsidR="00842C60" w:rsidRDefault="002D1FCB" w:rsidP="00214148">
      <w:pPr>
        <w:jc w:val="both"/>
        <w:rPr>
          <w:rFonts w:asciiTheme="majorBidi" w:hAnsiTheme="majorBidi" w:cstheme="majorBidi"/>
          <w:bCs/>
          <w:iCs/>
        </w:rPr>
      </w:pPr>
      <w:r>
        <w:rPr>
          <w:rFonts w:asciiTheme="majorBidi" w:hAnsiTheme="majorBidi" w:cstheme="majorBidi"/>
          <w:bCs/>
          <w:iCs/>
        </w:rPr>
        <w:t>Table 1 belo</w:t>
      </w:r>
      <w:r w:rsidR="0054016B">
        <w:rPr>
          <w:rFonts w:asciiTheme="majorBidi" w:hAnsiTheme="majorBidi" w:cstheme="majorBidi"/>
          <w:bCs/>
          <w:iCs/>
        </w:rPr>
        <w:t>w summarizes</w:t>
      </w:r>
      <w:r w:rsidR="0045722A">
        <w:rPr>
          <w:rFonts w:asciiTheme="majorBidi" w:hAnsiTheme="majorBidi" w:cstheme="majorBidi"/>
          <w:bCs/>
          <w:iCs/>
        </w:rPr>
        <w:t xml:space="preserve"> </w:t>
      </w:r>
      <w:r>
        <w:rPr>
          <w:rFonts w:asciiTheme="majorBidi" w:hAnsiTheme="majorBidi" w:cstheme="majorBidi"/>
          <w:bCs/>
          <w:iCs/>
        </w:rPr>
        <w:t>the power contro</w:t>
      </w:r>
      <w:r w:rsidR="0045722A">
        <w:rPr>
          <w:rFonts w:asciiTheme="majorBidi" w:hAnsiTheme="majorBidi" w:cstheme="majorBidi"/>
          <w:bCs/>
          <w:iCs/>
        </w:rPr>
        <w:t>l schemes of Rel. 15 CA/DC and their differences with the framework needed for NN-DC under NR Rel. 16.</w:t>
      </w:r>
    </w:p>
    <w:p w14:paraId="2459B65B" w14:textId="66C3D0EA" w:rsidR="00842C60" w:rsidRDefault="00842C60" w:rsidP="00842C60">
      <w:pPr>
        <w:pStyle w:val="Caption"/>
        <w:keepNext/>
        <w:jc w:val="center"/>
      </w:pPr>
      <w:r>
        <w:t xml:space="preserve">Table </w:t>
      </w:r>
      <w:r w:rsidR="00AD4802">
        <w:fldChar w:fldCharType="begin"/>
      </w:r>
      <w:r w:rsidR="00AD4802">
        <w:instrText xml:space="preserve"> SEQ Table \* ARABIC </w:instrText>
      </w:r>
      <w:r w:rsidR="00AD4802">
        <w:fldChar w:fldCharType="separate"/>
      </w:r>
      <w:r w:rsidR="00046296">
        <w:rPr>
          <w:noProof/>
        </w:rPr>
        <w:t>1</w:t>
      </w:r>
      <w:r w:rsidR="00AD4802">
        <w:rPr>
          <w:noProof/>
        </w:rPr>
        <w:fldChar w:fldCharType="end"/>
      </w:r>
      <w:r>
        <w:t>: Summary of the NR Rel. 15 CA/DC power control schemes and key differences with Rel. 16 NN-DC.</w:t>
      </w:r>
    </w:p>
    <w:tbl>
      <w:tblPr>
        <w:tblStyle w:val="TableGrid"/>
        <w:tblW w:w="0" w:type="auto"/>
        <w:tblLook w:val="04A0" w:firstRow="1" w:lastRow="0" w:firstColumn="1" w:lastColumn="0" w:noHBand="0" w:noVBand="1"/>
      </w:tblPr>
      <w:tblGrid>
        <w:gridCol w:w="2065"/>
        <w:gridCol w:w="4576"/>
        <w:gridCol w:w="3321"/>
      </w:tblGrid>
      <w:tr w:rsidR="0045722A" w14:paraId="3FDA20EB" w14:textId="77777777" w:rsidTr="00C23864">
        <w:tc>
          <w:tcPr>
            <w:tcW w:w="2065" w:type="dxa"/>
            <w:shd w:val="clear" w:color="auto" w:fill="E2EFD9" w:themeFill="accent6" w:themeFillTint="33"/>
          </w:tcPr>
          <w:p w14:paraId="4261A7C3" w14:textId="77777777" w:rsidR="0045722A" w:rsidRPr="0045722A" w:rsidRDefault="0045722A" w:rsidP="0045722A">
            <w:pPr>
              <w:jc w:val="center"/>
              <w:rPr>
                <w:rFonts w:asciiTheme="majorBidi" w:hAnsiTheme="majorBidi" w:cstheme="majorBidi"/>
                <w:bCs/>
                <w:iCs/>
              </w:rPr>
            </w:pPr>
            <w:r w:rsidRPr="0045722A">
              <w:rPr>
                <w:rFonts w:asciiTheme="majorBidi" w:hAnsiTheme="majorBidi" w:cstheme="majorBidi"/>
                <w:b/>
                <w:bCs/>
                <w:iCs/>
              </w:rPr>
              <w:t>Power control for …</w:t>
            </w:r>
          </w:p>
          <w:p w14:paraId="24FB9A35" w14:textId="77777777" w:rsidR="0045722A" w:rsidRDefault="0045722A" w:rsidP="0045722A">
            <w:pPr>
              <w:jc w:val="center"/>
              <w:rPr>
                <w:rFonts w:asciiTheme="majorBidi" w:hAnsiTheme="majorBidi" w:cstheme="majorBidi"/>
                <w:bCs/>
                <w:iCs/>
              </w:rPr>
            </w:pPr>
          </w:p>
        </w:tc>
        <w:tc>
          <w:tcPr>
            <w:tcW w:w="4576" w:type="dxa"/>
            <w:shd w:val="clear" w:color="auto" w:fill="E2EFD9" w:themeFill="accent6" w:themeFillTint="33"/>
          </w:tcPr>
          <w:p w14:paraId="63579694" w14:textId="3B4BFB27"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 Rel. 15 Procedure</w:t>
            </w:r>
          </w:p>
        </w:tc>
        <w:tc>
          <w:tcPr>
            <w:tcW w:w="3321" w:type="dxa"/>
            <w:shd w:val="clear" w:color="auto" w:fill="E2EFD9" w:themeFill="accent6" w:themeFillTint="33"/>
          </w:tcPr>
          <w:p w14:paraId="323895DE" w14:textId="3B81CDAC"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Differences with Rel. 16 NN-DC</w:t>
            </w:r>
          </w:p>
        </w:tc>
      </w:tr>
      <w:tr w:rsidR="0045722A" w14:paraId="66D63032" w14:textId="77777777" w:rsidTr="00C23864">
        <w:tc>
          <w:tcPr>
            <w:tcW w:w="2065" w:type="dxa"/>
            <w:shd w:val="clear" w:color="auto" w:fill="FBE4D5" w:themeFill="accent2" w:themeFillTint="33"/>
          </w:tcPr>
          <w:p w14:paraId="2E2DA4D9" w14:textId="404B5129"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NR-CA</w:t>
            </w:r>
          </w:p>
        </w:tc>
        <w:tc>
          <w:tcPr>
            <w:tcW w:w="4576" w:type="dxa"/>
          </w:tcPr>
          <w:p w14:paraId="2819EBA1" w14:textId="232795C1" w:rsidR="0045722A" w:rsidRDefault="0045722A" w:rsidP="00214148">
            <w:pPr>
              <w:rPr>
                <w:rFonts w:asciiTheme="majorBidi" w:hAnsiTheme="majorBidi" w:cstheme="majorBidi"/>
                <w:bCs/>
                <w:iCs/>
              </w:rPr>
            </w:pPr>
            <w:r w:rsidRPr="0045722A">
              <w:rPr>
                <w:rFonts w:asciiTheme="majorBidi" w:hAnsiTheme="majorBidi" w:cstheme="majorBidi"/>
                <w:bCs/>
                <w:iCs/>
              </w:rPr>
              <w:t xml:space="preserve">At each occasion, the UE scales down its power based on the priority rule to ensure </w:t>
            </w:r>
            <w:proofErr w:type="spellStart"/>
            <w:r w:rsidRPr="0045722A">
              <w:rPr>
                <w:rFonts w:asciiTheme="majorBidi" w:hAnsiTheme="majorBidi" w:cstheme="majorBidi"/>
                <w:bCs/>
                <w:iCs/>
              </w:rPr>
              <w:t>Pmax</w:t>
            </w:r>
            <w:proofErr w:type="spellEnd"/>
            <w:r w:rsidRPr="0045722A">
              <w:rPr>
                <w:rFonts w:asciiTheme="majorBidi" w:hAnsiTheme="majorBidi" w:cstheme="majorBidi"/>
                <w:bCs/>
                <w:iCs/>
              </w:rPr>
              <w:t xml:space="preserve"> is satisfied.</w:t>
            </w:r>
            <w:r w:rsidR="008C22D1">
              <w:rPr>
                <w:rFonts w:asciiTheme="majorBidi" w:hAnsiTheme="majorBidi" w:cstheme="majorBidi"/>
                <w:bCs/>
                <w:iCs/>
              </w:rPr>
              <w:t xml:space="preserve"> All cells are controlled by the same </w:t>
            </w:r>
            <w:proofErr w:type="spellStart"/>
            <w:r w:rsidR="008C22D1">
              <w:rPr>
                <w:rFonts w:asciiTheme="majorBidi" w:hAnsiTheme="majorBidi" w:cstheme="majorBidi"/>
                <w:bCs/>
                <w:iCs/>
              </w:rPr>
              <w:t>gNB</w:t>
            </w:r>
            <w:proofErr w:type="spellEnd"/>
            <w:r w:rsidR="008C22D1">
              <w:rPr>
                <w:rFonts w:asciiTheme="majorBidi" w:hAnsiTheme="majorBidi" w:cstheme="majorBidi"/>
                <w:bCs/>
                <w:iCs/>
              </w:rPr>
              <w:t>; hence, interruptions are manageable/avoidable.</w:t>
            </w:r>
          </w:p>
        </w:tc>
        <w:tc>
          <w:tcPr>
            <w:tcW w:w="3321" w:type="dxa"/>
          </w:tcPr>
          <w:p w14:paraId="05714E51" w14:textId="07F61CD1" w:rsidR="0045722A" w:rsidRDefault="0045722A" w:rsidP="00214148">
            <w:pPr>
              <w:rPr>
                <w:rFonts w:asciiTheme="majorBidi" w:hAnsiTheme="majorBidi" w:cstheme="majorBidi"/>
                <w:bCs/>
                <w:iCs/>
              </w:rPr>
            </w:pPr>
            <w:r w:rsidRPr="0045722A">
              <w:rPr>
                <w:rFonts w:asciiTheme="majorBidi" w:hAnsiTheme="majorBidi" w:cstheme="majorBidi"/>
                <w:bCs/>
                <w:iCs/>
              </w:rPr>
              <w:t>In DC, cells do not know about each other</w:t>
            </w:r>
            <w:r w:rsidR="008C22D1">
              <w:rPr>
                <w:rFonts w:asciiTheme="majorBidi" w:hAnsiTheme="majorBidi" w:cstheme="majorBidi"/>
                <w:bCs/>
                <w:iCs/>
              </w:rPr>
              <w:t>’s scheduling decisions</w:t>
            </w:r>
            <w:r w:rsidRPr="0045722A">
              <w:rPr>
                <w:rFonts w:asciiTheme="majorBidi" w:hAnsiTheme="majorBidi" w:cstheme="majorBidi"/>
                <w:bCs/>
                <w:iCs/>
              </w:rPr>
              <w:t>. Following the CA behavior with no modification lea</w:t>
            </w:r>
            <w:r w:rsidR="00842C60">
              <w:rPr>
                <w:rFonts w:asciiTheme="majorBidi" w:hAnsiTheme="majorBidi" w:cstheme="majorBidi"/>
                <w:bCs/>
                <w:iCs/>
              </w:rPr>
              <w:t>ds to interrupting the uplink transmission</w:t>
            </w:r>
            <w:r w:rsidRPr="0045722A">
              <w:rPr>
                <w:rFonts w:asciiTheme="majorBidi" w:hAnsiTheme="majorBidi" w:cstheme="majorBidi"/>
                <w:bCs/>
                <w:iCs/>
              </w:rPr>
              <w:t xml:space="preserve"> of one CG without the </w:t>
            </w:r>
            <w:proofErr w:type="spellStart"/>
            <w:r w:rsidRPr="0045722A">
              <w:rPr>
                <w:rFonts w:asciiTheme="majorBidi" w:hAnsiTheme="majorBidi" w:cstheme="majorBidi"/>
                <w:bCs/>
                <w:iCs/>
              </w:rPr>
              <w:t>gNB’s</w:t>
            </w:r>
            <w:proofErr w:type="spellEnd"/>
            <w:r w:rsidRPr="0045722A">
              <w:rPr>
                <w:rFonts w:asciiTheme="majorBidi" w:hAnsiTheme="majorBidi" w:cstheme="majorBidi"/>
                <w:bCs/>
                <w:iCs/>
              </w:rPr>
              <w:t xml:space="preserve"> knowledge.</w:t>
            </w:r>
          </w:p>
        </w:tc>
      </w:tr>
      <w:tr w:rsidR="0045722A" w14:paraId="1D44EC87" w14:textId="77777777" w:rsidTr="00C23864">
        <w:tc>
          <w:tcPr>
            <w:tcW w:w="2065" w:type="dxa"/>
            <w:shd w:val="clear" w:color="auto" w:fill="FBE4D5" w:themeFill="accent2" w:themeFillTint="33"/>
          </w:tcPr>
          <w:p w14:paraId="4203E5E6" w14:textId="336EDB76"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EN-DC</w:t>
            </w:r>
          </w:p>
        </w:tc>
        <w:tc>
          <w:tcPr>
            <w:tcW w:w="4576" w:type="dxa"/>
          </w:tcPr>
          <w:p w14:paraId="2A978C70" w14:textId="26850381" w:rsidR="0045722A" w:rsidRDefault="0045722A" w:rsidP="00214148">
            <w:pPr>
              <w:rPr>
                <w:rFonts w:asciiTheme="majorBidi" w:hAnsiTheme="majorBidi" w:cstheme="majorBidi"/>
                <w:bCs/>
                <w:iCs/>
              </w:rPr>
            </w:pPr>
            <w:r w:rsidRPr="0045722A">
              <w:rPr>
                <w:rFonts w:asciiTheme="majorBidi" w:hAnsiTheme="majorBidi" w:cstheme="majorBidi"/>
                <w:bCs/>
                <w:iCs/>
              </w:rPr>
              <w:t>Semi-static an</w:t>
            </w:r>
            <w:r w:rsidR="00842C60">
              <w:rPr>
                <w:rFonts w:asciiTheme="majorBidi" w:hAnsiTheme="majorBidi" w:cstheme="majorBidi"/>
                <w:bCs/>
                <w:iCs/>
              </w:rPr>
              <w:t>d dynamic power control schemes are adopted.</w:t>
            </w:r>
            <w:r w:rsidRPr="0045722A">
              <w:rPr>
                <w:rFonts w:asciiTheme="majorBidi" w:hAnsiTheme="majorBidi" w:cstheme="majorBidi"/>
                <w:bCs/>
                <w:iCs/>
              </w:rPr>
              <w:t xml:space="preserve"> Under the dynamic scheme, a UE is configured with P_LTE and P_NR. If P_LTE+P_NR &gt; P_ENDC, the UE </w:t>
            </w:r>
            <w:proofErr w:type="gramStart"/>
            <w:r w:rsidRPr="0045722A">
              <w:rPr>
                <w:rFonts w:asciiTheme="majorBidi" w:hAnsiTheme="majorBidi" w:cstheme="majorBidi"/>
                <w:bCs/>
                <w:iCs/>
              </w:rPr>
              <w:t>has to</w:t>
            </w:r>
            <w:proofErr w:type="gramEnd"/>
            <w:r w:rsidRPr="0045722A">
              <w:rPr>
                <w:rFonts w:asciiTheme="majorBidi" w:hAnsiTheme="majorBidi" w:cstheme="majorBidi"/>
                <w:bCs/>
                <w:iCs/>
              </w:rPr>
              <w:t xml:space="preserve"> scale down its NR power</w:t>
            </w:r>
            <w:r w:rsidR="008C22D1">
              <w:rPr>
                <w:rFonts w:asciiTheme="majorBidi" w:hAnsiTheme="majorBidi" w:cstheme="majorBidi"/>
                <w:bCs/>
                <w:iCs/>
              </w:rPr>
              <w:t xml:space="preserve"> when collision happens</w:t>
            </w:r>
            <w:r w:rsidRPr="0045722A">
              <w:rPr>
                <w:rFonts w:asciiTheme="majorBidi" w:hAnsiTheme="majorBidi" w:cstheme="majorBidi"/>
                <w:bCs/>
                <w:iCs/>
              </w:rPr>
              <w:t>. The SCG has a lower priority, and it is faster; hence, it can adapt its power based on the LTE decision.</w:t>
            </w:r>
          </w:p>
        </w:tc>
        <w:tc>
          <w:tcPr>
            <w:tcW w:w="3321" w:type="dxa"/>
            <w:vMerge w:val="restart"/>
          </w:tcPr>
          <w:p w14:paraId="3EF21BDA" w14:textId="77777777" w:rsidR="00842C60" w:rsidRDefault="00842C60" w:rsidP="0045722A">
            <w:pPr>
              <w:rPr>
                <w:rFonts w:asciiTheme="majorBidi" w:hAnsiTheme="majorBidi" w:cstheme="majorBidi"/>
                <w:bCs/>
                <w:iCs/>
              </w:rPr>
            </w:pPr>
          </w:p>
          <w:p w14:paraId="09C6612E" w14:textId="77777777" w:rsidR="00842C60" w:rsidRDefault="00842C60" w:rsidP="0045722A">
            <w:pPr>
              <w:rPr>
                <w:rFonts w:asciiTheme="majorBidi" w:hAnsiTheme="majorBidi" w:cstheme="majorBidi"/>
                <w:bCs/>
                <w:iCs/>
              </w:rPr>
            </w:pPr>
          </w:p>
          <w:p w14:paraId="53514362" w14:textId="69234978" w:rsidR="0045722A" w:rsidRPr="0045722A" w:rsidRDefault="00842C60" w:rsidP="0045722A">
            <w:pPr>
              <w:rPr>
                <w:rFonts w:asciiTheme="majorBidi" w:hAnsiTheme="majorBidi" w:cstheme="majorBidi"/>
                <w:bCs/>
                <w:iCs/>
              </w:rPr>
            </w:pPr>
            <w:r>
              <w:rPr>
                <w:rFonts w:asciiTheme="majorBidi" w:hAnsiTheme="majorBidi" w:cstheme="majorBidi"/>
                <w:bCs/>
                <w:iCs/>
              </w:rPr>
              <w:t>In Rel. 16 NN-DC, a UE has comparable processing latency on both cell groups</w:t>
            </w:r>
            <w:r w:rsidR="0045722A" w:rsidRPr="0045722A">
              <w:rPr>
                <w:rFonts w:asciiTheme="majorBidi" w:hAnsiTheme="majorBidi" w:cstheme="majorBidi"/>
                <w:bCs/>
                <w:iCs/>
              </w:rPr>
              <w:t>. It is not possible to always adapt one cell group’s power based on the decision made by the other one.</w:t>
            </w:r>
          </w:p>
          <w:p w14:paraId="12F35D09" w14:textId="77777777" w:rsidR="0045722A" w:rsidRDefault="0045722A" w:rsidP="00214148">
            <w:pPr>
              <w:rPr>
                <w:rFonts w:asciiTheme="majorBidi" w:hAnsiTheme="majorBidi" w:cstheme="majorBidi"/>
                <w:bCs/>
                <w:iCs/>
              </w:rPr>
            </w:pPr>
          </w:p>
        </w:tc>
      </w:tr>
      <w:tr w:rsidR="0045722A" w14:paraId="15E948AE" w14:textId="77777777" w:rsidTr="00C23864">
        <w:tc>
          <w:tcPr>
            <w:tcW w:w="2065" w:type="dxa"/>
            <w:shd w:val="clear" w:color="auto" w:fill="FBE4D5" w:themeFill="accent2" w:themeFillTint="33"/>
          </w:tcPr>
          <w:p w14:paraId="7832AABE" w14:textId="53283FE4"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NE-DC</w:t>
            </w:r>
          </w:p>
        </w:tc>
        <w:tc>
          <w:tcPr>
            <w:tcW w:w="4576" w:type="dxa"/>
          </w:tcPr>
          <w:p w14:paraId="4ACD219A" w14:textId="22542C6E" w:rsidR="0045722A" w:rsidRDefault="0045722A" w:rsidP="00214148">
            <w:pPr>
              <w:rPr>
                <w:rFonts w:asciiTheme="majorBidi" w:hAnsiTheme="majorBidi" w:cstheme="majorBidi"/>
                <w:bCs/>
                <w:iCs/>
              </w:rPr>
            </w:pPr>
            <w:r w:rsidRPr="0045722A">
              <w:rPr>
                <w:rFonts w:asciiTheme="majorBidi" w:hAnsiTheme="majorBidi" w:cstheme="majorBidi"/>
                <w:bCs/>
                <w:iCs/>
              </w:rPr>
              <w:t>N</w:t>
            </w:r>
            <w:r w:rsidR="008C22D1">
              <w:rPr>
                <w:rFonts w:asciiTheme="majorBidi" w:hAnsiTheme="majorBidi" w:cstheme="majorBidi"/>
                <w:bCs/>
                <w:iCs/>
              </w:rPr>
              <w:t xml:space="preserve">R has a higher priority; P_LTE </w:t>
            </w:r>
            <w:r w:rsidRPr="0045722A">
              <w:rPr>
                <w:rFonts w:asciiTheme="majorBidi" w:hAnsiTheme="majorBidi" w:cstheme="majorBidi"/>
                <w:bCs/>
                <w:iCs/>
              </w:rPr>
              <w:t>is modified depending on whether collision may happen or not. If P_NEDC is not satisfied, NR power should be scaled down.</w:t>
            </w:r>
          </w:p>
        </w:tc>
        <w:tc>
          <w:tcPr>
            <w:tcW w:w="3321" w:type="dxa"/>
            <w:vMerge/>
          </w:tcPr>
          <w:p w14:paraId="3A8EDE0C" w14:textId="77777777" w:rsidR="0045722A" w:rsidRDefault="0045722A" w:rsidP="00214148">
            <w:pPr>
              <w:rPr>
                <w:rFonts w:asciiTheme="majorBidi" w:hAnsiTheme="majorBidi" w:cstheme="majorBidi"/>
                <w:bCs/>
                <w:iCs/>
              </w:rPr>
            </w:pPr>
          </w:p>
        </w:tc>
      </w:tr>
      <w:tr w:rsidR="0045722A" w14:paraId="11CC7EFF" w14:textId="77777777" w:rsidTr="00C23864">
        <w:tc>
          <w:tcPr>
            <w:tcW w:w="2065" w:type="dxa"/>
            <w:shd w:val="clear" w:color="auto" w:fill="FBE4D5" w:themeFill="accent2" w:themeFillTint="33"/>
          </w:tcPr>
          <w:p w14:paraId="3195F847" w14:textId="0E7F0DB3"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NN-DC</w:t>
            </w:r>
          </w:p>
        </w:tc>
        <w:tc>
          <w:tcPr>
            <w:tcW w:w="4576" w:type="dxa"/>
          </w:tcPr>
          <w:p w14:paraId="6162970E" w14:textId="59BDEC43" w:rsidR="0045722A" w:rsidRDefault="0045722A" w:rsidP="00214148">
            <w:pPr>
              <w:rPr>
                <w:rFonts w:asciiTheme="majorBidi" w:hAnsiTheme="majorBidi" w:cstheme="majorBidi"/>
                <w:bCs/>
                <w:iCs/>
              </w:rPr>
            </w:pPr>
            <w:r w:rsidRPr="0045722A">
              <w:rPr>
                <w:rFonts w:asciiTheme="majorBidi" w:hAnsiTheme="majorBidi" w:cstheme="majorBidi"/>
                <w:bCs/>
                <w:iCs/>
              </w:rPr>
              <w:t>NN-DC using FR1+FR2 with independent power control across the cell groups.</w:t>
            </w:r>
          </w:p>
        </w:tc>
        <w:tc>
          <w:tcPr>
            <w:tcW w:w="3321" w:type="dxa"/>
          </w:tcPr>
          <w:p w14:paraId="1E49D712" w14:textId="5324C6EB" w:rsidR="0045722A" w:rsidRDefault="00842C60" w:rsidP="00214148">
            <w:pPr>
              <w:rPr>
                <w:rFonts w:asciiTheme="majorBidi" w:hAnsiTheme="majorBidi" w:cstheme="majorBidi"/>
                <w:bCs/>
                <w:iCs/>
              </w:rPr>
            </w:pPr>
            <w:r>
              <w:rPr>
                <w:rFonts w:asciiTheme="majorBidi" w:hAnsiTheme="majorBidi" w:cstheme="majorBidi"/>
                <w:bCs/>
                <w:iCs/>
              </w:rPr>
              <w:t>Rel. 16 NN-DC assumes cell groups with</w:t>
            </w:r>
            <w:r w:rsidR="0045722A" w:rsidRPr="0045722A">
              <w:rPr>
                <w:rFonts w:asciiTheme="majorBidi" w:hAnsiTheme="majorBidi" w:cstheme="majorBidi"/>
                <w:bCs/>
                <w:iCs/>
              </w:rPr>
              <w:t xml:space="preserve"> FR1+FR1 or </w:t>
            </w:r>
            <w:r w:rsidR="0045722A" w:rsidRPr="008C22D1">
              <w:rPr>
                <w:rFonts w:asciiTheme="majorBidi" w:hAnsiTheme="majorBidi" w:cstheme="majorBidi"/>
                <w:bCs/>
                <w:iCs/>
              </w:rPr>
              <w:t>FR2+FR2</w:t>
            </w:r>
            <w:r w:rsidR="0045722A" w:rsidRPr="0045722A">
              <w:rPr>
                <w:rFonts w:asciiTheme="majorBidi" w:hAnsiTheme="majorBidi" w:cstheme="majorBidi"/>
                <w:bCs/>
                <w:iCs/>
              </w:rPr>
              <w:t>; power control decisions are dependent across the cell groups.</w:t>
            </w:r>
          </w:p>
        </w:tc>
      </w:tr>
    </w:tbl>
    <w:p w14:paraId="33774A66" w14:textId="77777777" w:rsidR="0045722A" w:rsidRDefault="0045722A" w:rsidP="00214148">
      <w:pPr>
        <w:jc w:val="both"/>
        <w:rPr>
          <w:rFonts w:asciiTheme="majorBidi" w:hAnsiTheme="majorBidi" w:cstheme="majorBidi"/>
          <w:bCs/>
          <w:iCs/>
        </w:rPr>
      </w:pPr>
    </w:p>
    <w:p w14:paraId="3E36F54D" w14:textId="59E4B14A" w:rsidR="0036619F" w:rsidRPr="00214148" w:rsidRDefault="00C23864" w:rsidP="00214148">
      <w:pPr>
        <w:jc w:val="both"/>
        <w:rPr>
          <w:rFonts w:asciiTheme="majorBidi" w:hAnsiTheme="majorBidi" w:cstheme="majorBidi"/>
          <w:bCs/>
          <w:iCs/>
        </w:rPr>
      </w:pPr>
      <w:r>
        <w:rPr>
          <w:rFonts w:asciiTheme="majorBidi" w:hAnsiTheme="majorBidi" w:cstheme="majorBidi"/>
          <w:bCs/>
          <w:iCs/>
        </w:rPr>
        <w:t xml:space="preserve">Considering the points raised above, in </w:t>
      </w:r>
      <w:r w:rsidR="00C12914">
        <w:rPr>
          <w:rFonts w:asciiTheme="majorBidi" w:hAnsiTheme="majorBidi" w:cstheme="majorBidi"/>
          <w:bCs/>
          <w:iCs/>
        </w:rPr>
        <w:t>the subsequent</w:t>
      </w:r>
      <w:r>
        <w:rPr>
          <w:rFonts w:asciiTheme="majorBidi" w:hAnsiTheme="majorBidi" w:cstheme="majorBidi"/>
          <w:bCs/>
          <w:iCs/>
        </w:rPr>
        <w:t xml:space="preserve"> section, we propose a possible solution for uplink power control of Rel. 16 NN-DC.</w:t>
      </w:r>
    </w:p>
    <w:p w14:paraId="0E07AC2D" w14:textId="4AD09731" w:rsidR="006838AD" w:rsidRPr="00DE44D6" w:rsidRDefault="000A1AA8" w:rsidP="006838AD">
      <w:pPr>
        <w:pStyle w:val="Heading1"/>
        <w:jc w:val="both"/>
        <w:rPr>
          <w:rFonts w:ascii="Times New Roman" w:hAnsi="Times New Roman"/>
        </w:rPr>
      </w:pPr>
      <w:r>
        <w:rPr>
          <w:rFonts w:ascii="Times New Roman" w:hAnsi="Times New Roman"/>
        </w:rPr>
        <w:t>Uplink Power Control Solution for Rel. 16 NN-DC</w:t>
      </w:r>
    </w:p>
    <w:p w14:paraId="41F9E542" w14:textId="4B1B7890" w:rsidR="00EF4476" w:rsidRDefault="005D5363" w:rsidP="00EF4476">
      <w:pPr>
        <w:jc w:val="both"/>
      </w:pPr>
      <w:r w:rsidRPr="005D5363">
        <w:t xml:space="preserve">A practical scheme for uplink power control should </w:t>
      </w:r>
      <w:r>
        <w:t xml:space="preserve">satisfy the following two </w:t>
      </w:r>
      <w:r w:rsidR="003A1D84">
        <w:t>conditions</w:t>
      </w:r>
      <w:r>
        <w:t>:</w:t>
      </w:r>
    </w:p>
    <w:p w14:paraId="1D73503A" w14:textId="7BEA460A" w:rsidR="005D5363" w:rsidRDefault="003A1D84" w:rsidP="005D5363">
      <w:pPr>
        <w:pStyle w:val="ListParagraph"/>
        <w:numPr>
          <w:ilvl w:val="0"/>
          <w:numId w:val="7"/>
        </w:numPr>
        <w:jc w:val="both"/>
        <w:rPr>
          <w:rFonts w:ascii="Times New Roman" w:hAnsi="Times New Roman"/>
          <w:sz w:val="20"/>
        </w:rPr>
      </w:pPr>
      <w:r>
        <w:rPr>
          <w:rFonts w:ascii="Times New Roman" w:hAnsi="Times New Roman"/>
          <w:sz w:val="20"/>
        </w:rPr>
        <w:t xml:space="preserve">Allows for the </w:t>
      </w:r>
      <w:r w:rsidR="002F714F">
        <w:rPr>
          <w:rFonts w:ascii="Times New Roman" w:hAnsi="Times New Roman"/>
          <w:sz w:val="20"/>
        </w:rPr>
        <w:t xml:space="preserve">UE implementation with </w:t>
      </w:r>
      <w:r w:rsidR="00C12914">
        <w:rPr>
          <w:rFonts w:ascii="Times New Roman" w:hAnsi="Times New Roman"/>
          <w:sz w:val="20"/>
        </w:rPr>
        <w:t xml:space="preserve">a </w:t>
      </w:r>
      <w:r w:rsidR="002F714F">
        <w:rPr>
          <w:rFonts w:ascii="Times New Roman" w:hAnsi="Times New Roman"/>
          <w:sz w:val="20"/>
        </w:rPr>
        <w:t>reasonable complexity</w:t>
      </w:r>
    </w:p>
    <w:p w14:paraId="291B328E" w14:textId="7F34333A" w:rsidR="002F714F" w:rsidRDefault="002F714F" w:rsidP="005D5363">
      <w:pPr>
        <w:pStyle w:val="ListParagraph"/>
        <w:numPr>
          <w:ilvl w:val="0"/>
          <w:numId w:val="7"/>
        </w:numPr>
        <w:jc w:val="both"/>
        <w:rPr>
          <w:rFonts w:ascii="Times New Roman" w:hAnsi="Times New Roman"/>
          <w:sz w:val="20"/>
        </w:rPr>
      </w:pPr>
      <w:r>
        <w:rPr>
          <w:rFonts w:ascii="Times New Roman" w:hAnsi="Times New Roman"/>
          <w:sz w:val="20"/>
        </w:rPr>
        <w:t xml:space="preserve">Allows a </w:t>
      </w:r>
      <w:proofErr w:type="spellStart"/>
      <w:r>
        <w:rPr>
          <w:rFonts w:ascii="Times New Roman" w:hAnsi="Times New Roman"/>
          <w:sz w:val="20"/>
        </w:rPr>
        <w:t>gNB</w:t>
      </w:r>
      <w:proofErr w:type="spellEnd"/>
      <w:r>
        <w:rPr>
          <w:rFonts w:ascii="Times New Roman" w:hAnsi="Times New Roman"/>
          <w:sz w:val="20"/>
        </w:rPr>
        <w:t xml:space="preserve"> to make scheduling decisions independently.</w:t>
      </w:r>
    </w:p>
    <w:p w14:paraId="109E2625" w14:textId="4C26049C" w:rsidR="002F714F" w:rsidRDefault="002F714F" w:rsidP="002F714F">
      <w:pPr>
        <w:jc w:val="both"/>
      </w:pPr>
    </w:p>
    <w:p w14:paraId="4CF96C72" w14:textId="77777777" w:rsidR="001E634E" w:rsidRDefault="002F714F" w:rsidP="002F714F">
      <w:pPr>
        <w:jc w:val="both"/>
      </w:pPr>
      <w:r>
        <w:lastRenderedPageBreak/>
        <w:t xml:space="preserve">For (1) to be satisfied, </w:t>
      </w:r>
      <w:r w:rsidR="006F7127">
        <w:t>it is desirable to devise a scheme that enables a UE to make power control decisions in each group separately. In other words, for power control in cell group 1, the UE is not required to take the “actual” transmissions of cell group 2 i</w:t>
      </w:r>
      <w:r w:rsidR="001E634E">
        <w:t xml:space="preserve">nto account. Further, satisfying (2) is desirable due to the fact that the </w:t>
      </w:r>
      <w:proofErr w:type="spellStart"/>
      <w:r w:rsidR="001E634E">
        <w:t>gNBs</w:t>
      </w:r>
      <w:proofErr w:type="spellEnd"/>
      <w:r w:rsidR="001E634E">
        <w:t xml:space="preserve"> are not necessarily aware of </w:t>
      </w:r>
      <w:proofErr w:type="spellStart"/>
      <w:r w:rsidR="001E634E">
        <w:t xml:space="preserve">each </w:t>
      </w:r>
      <w:proofErr w:type="gramStart"/>
      <w:r w:rsidR="001E634E">
        <w:t>others</w:t>
      </w:r>
      <w:proofErr w:type="spellEnd"/>
      <w:proofErr w:type="gramEnd"/>
      <w:r w:rsidR="001E634E">
        <w:t xml:space="preserve"> scheduling decisions (as discussed in the preceding section, this is the key difference between CA and DC.) Under condition (2), each </w:t>
      </w:r>
      <w:proofErr w:type="spellStart"/>
      <w:r w:rsidR="001E634E">
        <w:t>gNB</w:t>
      </w:r>
      <w:proofErr w:type="spellEnd"/>
      <w:r w:rsidR="001E634E">
        <w:t xml:space="preserve"> can make its scheduling decisions independently, and is certain that the UE’s uplink transmissions are not interrupted unless controlled by the same </w:t>
      </w:r>
      <w:proofErr w:type="spellStart"/>
      <w:r w:rsidR="001E634E">
        <w:t>gNB</w:t>
      </w:r>
      <w:proofErr w:type="spellEnd"/>
      <w:r w:rsidR="001E634E">
        <w:t>. The following solution satisfies (1) and (2):</w:t>
      </w:r>
    </w:p>
    <w:p w14:paraId="6AB5DA19" w14:textId="55DEDF2D" w:rsidR="006A1587" w:rsidRDefault="006A1587" w:rsidP="002F714F">
      <w:pPr>
        <w:jc w:val="both"/>
      </w:pPr>
      <w:r>
        <w:t>Under the proposed solution, from the network side, the following step should be taken for each UE:</w:t>
      </w:r>
    </w:p>
    <w:p w14:paraId="698BADE9" w14:textId="3D148F12" w:rsidR="002F714F" w:rsidRDefault="006A1587" w:rsidP="006A1587">
      <w:pPr>
        <w:pStyle w:val="ListParagraph"/>
        <w:numPr>
          <w:ilvl w:val="0"/>
          <w:numId w:val="8"/>
        </w:numPr>
        <w:jc w:val="both"/>
        <w:rPr>
          <w:rFonts w:ascii="Times New Roman" w:hAnsi="Times New Roman"/>
          <w:sz w:val="20"/>
        </w:rPr>
      </w:pPr>
      <w:r w:rsidRPr="006A1587">
        <w:rPr>
          <w:rFonts w:ascii="Times New Roman" w:hAnsi="Times New Roman"/>
          <w:sz w:val="20"/>
        </w:rPr>
        <w:t>A UE should be configured with two sets of maximum allowed powers for each cell group</w:t>
      </w:r>
    </w:p>
    <w:p w14:paraId="58C16F6B" w14:textId="074C7387" w:rsidR="006A1587" w:rsidRDefault="006A1587" w:rsidP="006A1587">
      <w:pPr>
        <w:pStyle w:val="ListParagraph"/>
        <w:numPr>
          <w:ilvl w:val="1"/>
          <w:numId w:val="8"/>
        </w:numPr>
        <w:jc w:val="both"/>
        <w:rPr>
          <w:rFonts w:ascii="Times New Roman" w:hAnsi="Times New Roman"/>
          <w:sz w:val="20"/>
        </w:rPr>
      </w:pPr>
      <w:r>
        <w:rPr>
          <w:rFonts w:ascii="Times New Roman" w:hAnsi="Times New Roman"/>
          <w:sz w:val="20"/>
        </w:rPr>
        <w:t>Set1 = {P_NR</w:t>
      </w:r>
      <w:proofErr w:type="gramStart"/>
      <w:r>
        <w:rPr>
          <w:rFonts w:ascii="Times New Roman" w:hAnsi="Times New Roman"/>
          <w:sz w:val="20"/>
        </w:rPr>
        <w:t>1,P</w:t>
      </w:r>
      <w:proofErr w:type="gramEnd"/>
      <w:r>
        <w:rPr>
          <w:rFonts w:ascii="Times New Roman" w:hAnsi="Times New Roman"/>
          <w:sz w:val="20"/>
        </w:rPr>
        <w:t xml:space="preserve">_NR2}, where </w:t>
      </w:r>
      <w:proofErr w:type="spellStart"/>
      <w:r>
        <w:rPr>
          <w:rFonts w:ascii="Times New Roman" w:hAnsi="Times New Roman"/>
          <w:sz w:val="20"/>
        </w:rPr>
        <w:t>P_NRi</w:t>
      </w:r>
      <w:proofErr w:type="spellEnd"/>
      <w:r>
        <w:rPr>
          <w:rFonts w:ascii="Times New Roman" w:hAnsi="Times New Roman"/>
          <w:sz w:val="20"/>
        </w:rPr>
        <w:t xml:space="preserve"> is the maximum allowed power of cell group </w:t>
      </w:r>
      <w:proofErr w:type="spellStart"/>
      <w:r>
        <w:rPr>
          <w:rFonts w:ascii="Times New Roman" w:hAnsi="Times New Roman"/>
          <w:sz w:val="20"/>
        </w:rPr>
        <w:t>i</w:t>
      </w:r>
      <w:proofErr w:type="spellEnd"/>
      <w:r>
        <w:rPr>
          <w:rFonts w:ascii="Times New Roman" w:hAnsi="Times New Roman"/>
          <w:sz w:val="20"/>
        </w:rPr>
        <w:t>, and P_NR1+P_NR2 &lt; = &gt; P_NN. P_NN is the maximum allowed power across all serving cells defined for NN-DC operation.</w:t>
      </w:r>
    </w:p>
    <w:p w14:paraId="1AF8B705" w14:textId="32049F61" w:rsidR="006A1587" w:rsidRDefault="006A1587" w:rsidP="006A1587">
      <w:pPr>
        <w:pStyle w:val="ListParagraph"/>
        <w:numPr>
          <w:ilvl w:val="1"/>
          <w:numId w:val="8"/>
        </w:numPr>
        <w:jc w:val="both"/>
        <w:rPr>
          <w:rFonts w:ascii="Times New Roman" w:hAnsi="Times New Roman"/>
          <w:sz w:val="20"/>
        </w:rPr>
      </w:pPr>
      <w:r>
        <w:rPr>
          <w:rFonts w:ascii="Times New Roman" w:hAnsi="Times New Roman"/>
          <w:sz w:val="20"/>
        </w:rPr>
        <w:t>Set 2 = {P_NR1</w:t>
      </w:r>
      <w:proofErr w:type="gramStart"/>
      <w:r>
        <w:rPr>
          <w:rFonts w:ascii="Times New Roman" w:hAnsi="Times New Roman"/>
          <w:sz w:val="20"/>
        </w:rPr>
        <w:t>’,P</w:t>
      </w:r>
      <w:proofErr w:type="gramEnd"/>
      <w:r>
        <w:rPr>
          <w:rFonts w:ascii="Times New Roman" w:hAnsi="Times New Roman"/>
          <w:sz w:val="20"/>
        </w:rPr>
        <w:t>_NR2’}, where P_NR1’+P_NR2’ &lt;= P_NN.</w:t>
      </w:r>
    </w:p>
    <w:p w14:paraId="76632626" w14:textId="757916F5" w:rsidR="006A1587" w:rsidRPr="00476CEE" w:rsidRDefault="006A1587" w:rsidP="006A1587">
      <w:pPr>
        <w:pStyle w:val="ListParagraph"/>
        <w:numPr>
          <w:ilvl w:val="0"/>
          <w:numId w:val="8"/>
        </w:numPr>
        <w:jc w:val="both"/>
        <w:rPr>
          <w:rFonts w:ascii="Times New Roman" w:hAnsi="Times New Roman"/>
          <w:sz w:val="20"/>
        </w:rPr>
      </w:pPr>
      <w:r w:rsidRPr="00476CEE">
        <w:rPr>
          <w:rFonts w:ascii="Times New Roman" w:hAnsi="Times New Roman"/>
          <w:sz w:val="20"/>
        </w:rPr>
        <w:t>For any FDD serving cell, a UE is configured with a UE-specific DL/UL configuration.</w:t>
      </w:r>
    </w:p>
    <w:p w14:paraId="4172B1D6" w14:textId="11F18949" w:rsidR="006A1587" w:rsidRDefault="006A1587" w:rsidP="006A1587">
      <w:pPr>
        <w:jc w:val="both"/>
      </w:pPr>
    </w:p>
    <w:p w14:paraId="7A2C8085" w14:textId="1EA484E3" w:rsidR="006A1587" w:rsidRDefault="006A1587" w:rsidP="006A1587">
      <w:pPr>
        <w:jc w:val="both"/>
      </w:pPr>
      <w:r w:rsidRPr="00046296">
        <w:t xml:space="preserve">From the UE side, the following behavior </w:t>
      </w:r>
      <w:r w:rsidR="00476CEE">
        <w:t>is expected</w:t>
      </w:r>
      <w:r w:rsidRPr="00046296">
        <w:t>:</w:t>
      </w:r>
    </w:p>
    <w:p w14:paraId="2BDB6ECD" w14:textId="5C711A38" w:rsidR="00046296" w:rsidRDefault="006A1587" w:rsidP="006A1587">
      <w:pPr>
        <w:pStyle w:val="ListParagraph"/>
        <w:numPr>
          <w:ilvl w:val="0"/>
          <w:numId w:val="9"/>
        </w:numPr>
        <w:jc w:val="both"/>
        <w:rPr>
          <w:rFonts w:ascii="Times New Roman" w:hAnsi="Times New Roman"/>
          <w:sz w:val="20"/>
        </w:rPr>
      </w:pPr>
      <w:r>
        <w:rPr>
          <w:rFonts w:ascii="Times New Roman" w:hAnsi="Times New Roman"/>
          <w:sz w:val="20"/>
        </w:rPr>
        <w:t xml:space="preserve">For the uplink transmission in cell group 1, the UE </w:t>
      </w:r>
      <w:r w:rsidR="00046296">
        <w:rPr>
          <w:rFonts w:ascii="Times New Roman" w:hAnsi="Times New Roman"/>
          <w:sz w:val="20"/>
        </w:rPr>
        <w:t xml:space="preserve">checks the semi-statically configured direction of the overlapping symbols of all serving cells of cell group 2. </w:t>
      </w:r>
      <w:r w:rsidR="00046296" w:rsidRPr="00167620">
        <w:rPr>
          <w:rFonts w:ascii="Times New Roman" w:hAnsi="Times New Roman"/>
          <w:sz w:val="20"/>
        </w:rPr>
        <w:t>If the direction of all the symbols is downlink</w:t>
      </w:r>
      <w:r w:rsidR="00046296">
        <w:rPr>
          <w:rFonts w:ascii="Times New Roman" w:hAnsi="Times New Roman"/>
          <w:sz w:val="20"/>
        </w:rPr>
        <w:t xml:space="preserve">, then the UE is certain that there will be no overlapping uplink transmission on the other </w:t>
      </w:r>
      <w:r w:rsidR="00167620">
        <w:rPr>
          <w:rFonts w:ascii="Times New Roman" w:hAnsi="Times New Roman"/>
          <w:sz w:val="20"/>
        </w:rPr>
        <w:t>cell</w:t>
      </w:r>
      <w:r w:rsidR="00046296">
        <w:rPr>
          <w:rFonts w:ascii="Times New Roman" w:hAnsi="Times New Roman"/>
          <w:sz w:val="20"/>
        </w:rPr>
        <w:t xml:space="preserve"> group. Hence, it chooses its maximum power associated with the serving group from set 1. Otherwise, if at least one symbol of any of the serving cells of the other serving group is configured as `uplink’ or `flexible’, then the UE selects the maximum power from set 2. </w:t>
      </w:r>
    </w:p>
    <w:p w14:paraId="3BCC78B0" w14:textId="77777777" w:rsidR="00046296" w:rsidRDefault="00046296" w:rsidP="00046296">
      <w:pPr>
        <w:jc w:val="both"/>
      </w:pPr>
    </w:p>
    <w:p w14:paraId="7CEF7CBA" w14:textId="50BC3047" w:rsidR="00046296" w:rsidRDefault="00046296" w:rsidP="00046296">
      <w:pPr>
        <w:jc w:val="both"/>
      </w:pPr>
      <w:r>
        <w:t xml:space="preserve">The network and UE behaviors </w:t>
      </w:r>
      <w:r w:rsidR="00DB41E8">
        <w:t xml:space="preserve">under the proposed scheme </w:t>
      </w:r>
      <w:r>
        <w:t>are summarized in Figure 1.</w:t>
      </w:r>
      <w:r w:rsidR="00700DD5">
        <w:t xml:space="preserve"> In addition, an example of this scheme is illustrated in Figure 2.</w:t>
      </w:r>
    </w:p>
    <w:p w14:paraId="39656A74" w14:textId="77777777" w:rsidR="00046296" w:rsidRDefault="00046296" w:rsidP="00046296">
      <w:pPr>
        <w:jc w:val="both"/>
      </w:pPr>
    </w:p>
    <w:p w14:paraId="49DDEC5F" w14:textId="71E68C79" w:rsidR="00046296" w:rsidRDefault="00DB41E8" w:rsidP="00046296">
      <w:pPr>
        <w:keepNext/>
        <w:jc w:val="center"/>
      </w:pPr>
      <w:r w:rsidRPr="00DB41E8">
        <w:object w:dxaOrig="23970" w:dyaOrig="8671" w14:anchorId="778BA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179.7pt" o:ole="">
            <v:imagedata r:id="rId12" o:title=""/>
          </v:shape>
          <o:OLEObject Type="Embed" ProgID="Visio.Drawing.15" ShapeID="_x0000_i1025" DrawAspect="Content" ObjectID="_1608745622" r:id="rId13"/>
        </w:object>
      </w:r>
    </w:p>
    <w:p w14:paraId="0F390ED1" w14:textId="7316C97D" w:rsidR="006A1587" w:rsidRDefault="00046296" w:rsidP="00046296">
      <w:pPr>
        <w:pStyle w:val="Caption"/>
        <w:jc w:val="center"/>
      </w:pPr>
      <w:r>
        <w:t xml:space="preserve">Figure </w:t>
      </w:r>
      <w:r w:rsidR="00AD4802">
        <w:fldChar w:fldCharType="begin"/>
      </w:r>
      <w:r w:rsidR="00AD4802">
        <w:instrText xml:space="preserve"> SEQ Figure \* ARABIC </w:instrText>
      </w:r>
      <w:r w:rsidR="00AD4802">
        <w:fldChar w:fldCharType="separate"/>
      </w:r>
      <w:r w:rsidR="00700DD5">
        <w:rPr>
          <w:noProof/>
        </w:rPr>
        <w:t>1</w:t>
      </w:r>
      <w:r w:rsidR="00AD4802">
        <w:rPr>
          <w:noProof/>
        </w:rPr>
        <w:fldChar w:fldCharType="end"/>
      </w:r>
      <w:r>
        <w:t xml:space="preserve">: </w:t>
      </w:r>
      <w:r w:rsidRPr="00F40475">
        <w:t>The network and UE operations under the proposed uplink power control scheme for NN-DC.</w:t>
      </w:r>
    </w:p>
    <w:p w14:paraId="125B145F" w14:textId="5E94FABE" w:rsidR="00046296" w:rsidRDefault="00046296" w:rsidP="00046296"/>
    <w:p w14:paraId="2B639409" w14:textId="1E05D6A3" w:rsidR="00700DD5" w:rsidRDefault="00700DD5" w:rsidP="00700DD5">
      <w:pPr>
        <w:keepNext/>
        <w:jc w:val="center"/>
      </w:pPr>
      <w:r>
        <w:object w:dxaOrig="17956" w:dyaOrig="9586" w14:anchorId="43EF85E0">
          <v:shape id="_x0000_i1026" type="#_x0000_t75" style="width:496.5pt;height:266.7pt" o:ole="">
            <v:imagedata r:id="rId14" o:title=""/>
          </v:shape>
          <o:OLEObject Type="Embed" ProgID="Visio.Drawing.15" ShapeID="_x0000_i1026" DrawAspect="Content" ObjectID="_1608745623" r:id="rId15"/>
        </w:object>
      </w:r>
    </w:p>
    <w:p w14:paraId="14643AE5" w14:textId="36253A65" w:rsidR="00700DD5" w:rsidRDefault="00700DD5" w:rsidP="00700DD5">
      <w:pPr>
        <w:pStyle w:val="Caption"/>
        <w:jc w:val="center"/>
      </w:pPr>
      <w:r w:rsidRPr="001930F2">
        <w:t xml:space="preserve">Figure </w:t>
      </w:r>
      <w:r w:rsidR="00AD4802">
        <w:fldChar w:fldCharType="begin"/>
      </w:r>
      <w:r w:rsidR="00AD4802">
        <w:instrText xml:space="preserve"> SEQ Figure \* ARABIC </w:instrText>
      </w:r>
      <w:r w:rsidR="00AD4802">
        <w:fldChar w:fldCharType="separate"/>
      </w:r>
      <w:r w:rsidRPr="001930F2">
        <w:rPr>
          <w:noProof/>
        </w:rPr>
        <w:t>2</w:t>
      </w:r>
      <w:r w:rsidR="00AD4802">
        <w:rPr>
          <w:noProof/>
        </w:rPr>
        <w:fldChar w:fldCharType="end"/>
      </w:r>
      <w:r w:rsidRPr="001930F2">
        <w:t>: An illustration of the proposed uplink power control scheme.</w:t>
      </w:r>
    </w:p>
    <w:p w14:paraId="071C30C9" w14:textId="77777777" w:rsidR="00700DD5" w:rsidRDefault="00700DD5" w:rsidP="00F50711">
      <w:pPr>
        <w:jc w:val="both"/>
      </w:pPr>
    </w:p>
    <w:p w14:paraId="0999D1BE" w14:textId="6F45D4CA" w:rsidR="00700DD5" w:rsidRDefault="00700DD5" w:rsidP="00F50711">
      <w:pPr>
        <w:jc w:val="both"/>
      </w:pPr>
      <w:r>
        <w:t xml:space="preserve">In the example shown in Figure 2, the semi-statically configured slot formats on serving cells of the first cell group are </w:t>
      </w:r>
      <w:r w:rsidR="00F725E5">
        <w:t xml:space="preserve">illustrated. Then, on CC3 and for PUSCH1, the direction of all the overlapping symbols of serving cells in CG1 is set to downlink. Hence, at the time of transmission of PUSCH1, the UE is certain that PUSCH1 does not collide with any uplink channel on CG1; thus, it selects its maximum allowed power from set 1. Unlike PUSCH1, PUSCH2 collides with some symbols that are set as flexible on CC2 of CG1. Hence, collision could potentially </w:t>
      </w:r>
      <w:proofErr w:type="gramStart"/>
      <w:r w:rsidR="00F725E5">
        <w:t>takes</w:t>
      </w:r>
      <w:proofErr w:type="gramEnd"/>
      <w:r w:rsidR="00F725E5">
        <w:t xml:space="preserve"> place. For this reason, the maximum allowed power at the time of PUSCH2 transmission is selected from set 2.  </w:t>
      </w:r>
      <w:r>
        <w:t xml:space="preserve"> </w:t>
      </w:r>
    </w:p>
    <w:p w14:paraId="47B96DCC" w14:textId="77BFE45D" w:rsidR="00700DD5" w:rsidRDefault="00DB41E8" w:rsidP="00F50711">
      <w:pPr>
        <w:jc w:val="both"/>
      </w:pPr>
      <w:r>
        <w:t xml:space="preserve">As evident from the description of the proposed scheme, </w:t>
      </w:r>
      <w:r w:rsidR="005102D7">
        <w:t xml:space="preserve">for setting the </w:t>
      </w:r>
      <w:r w:rsidR="00F50711">
        <w:t xml:space="preserve">maximum power per cell group, the UE can only rely on the semi-static configuration of the other serving cell; thus, a tight interaction between the two serving cells at the UE side is not required. From the </w:t>
      </w:r>
      <w:proofErr w:type="spellStart"/>
      <w:r w:rsidR="00F50711">
        <w:t>gNB’s</w:t>
      </w:r>
      <w:proofErr w:type="spellEnd"/>
      <w:r w:rsidR="00F50711">
        <w:t xml:space="preserve"> point of view, the scheduling decisions and power settings are </w:t>
      </w:r>
      <w:proofErr w:type="gramStart"/>
      <w:r w:rsidR="00F50711">
        <w:t>similar to</w:t>
      </w:r>
      <w:proofErr w:type="gramEnd"/>
      <w:r w:rsidR="00F50711">
        <w:t xml:space="preserve"> NR CA</w:t>
      </w:r>
      <w:r w:rsidR="00D94312">
        <w:t xml:space="preserve">, i.e., collisions and the resulting power scaling/dropping of the uplink channel in each group is </w:t>
      </w:r>
      <w:proofErr w:type="spellStart"/>
      <w:r w:rsidR="00D94312">
        <w:t>comepletely</w:t>
      </w:r>
      <w:proofErr w:type="spellEnd"/>
      <w:r w:rsidR="00D94312">
        <w:t xml:space="preserve"> under the control of the associated </w:t>
      </w:r>
      <w:proofErr w:type="spellStart"/>
      <w:r w:rsidR="00D94312">
        <w:t>gNB</w:t>
      </w:r>
      <w:proofErr w:type="spellEnd"/>
      <w:r w:rsidR="00D94312">
        <w:t xml:space="preserve">. For these two reasons, the proposed scheme is favorable from both the UE and </w:t>
      </w:r>
      <w:proofErr w:type="spellStart"/>
      <w:r w:rsidR="00D94312">
        <w:t>gNB’s</w:t>
      </w:r>
      <w:proofErr w:type="spellEnd"/>
      <w:r w:rsidR="00D94312">
        <w:t xml:space="preserve"> point of view. </w:t>
      </w:r>
      <w:r w:rsidR="00700DD5">
        <w:t xml:space="preserve">Further, the proposed scheme provides sufficient flexibility for the network to balance the priority of the two groups by appropriately setting the maximum powers in each group. </w:t>
      </w:r>
      <w:proofErr w:type="gramStart"/>
      <w:r w:rsidR="00F725E5">
        <w:t>In particular, a</w:t>
      </w:r>
      <w:proofErr w:type="gramEnd"/>
      <w:r w:rsidR="00F725E5">
        <w:t xml:space="preserve"> higher priority can be given to CG1 by allocating a larger portion of P_NN to P_NR1’ or a higher priority can be given to CG2 by assigning a larger fraction of P_NN to P_NR2’. </w:t>
      </w:r>
    </w:p>
    <w:p w14:paraId="74F64F19" w14:textId="0D4C2EC7" w:rsidR="004620B1" w:rsidRDefault="00F725E5" w:rsidP="00F50711">
      <w:pPr>
        <w:jc w:val="both"/>
      </w:pPr>
      <w:r w:rsidRPr="00374806">
        <w:t xml:space="preserve">Finally, it should be emphasized </w:t>
      </w:r>
      <w:r w:rsidR="005E7CE0" w:rsidRPr="00374806">
        <w:t>that the proposed scheme can be made</w:t>
      </w:r>
      <w:r w:rsidRPr="00374806">
        <w:t xml:space="preserve"> applicable to both synchronous as well as asynchronous deployments.</w:t>
      </w:r>
      <w:r w:rsidR="00D978B4">
        <w:t xml:space="preserve"> In </w:t>
      </w:r>
      <w:proofErr w:type="gramStart"/>
      <w:r w:rsidR="00D978B4">
        <w:t xml:space="preserve">a synchronous </w:t>
      </w:r>
      <w:r w:rsidR="00094E1A">
        <w:t>deploym</w:t>
      </w:r>
      <w:r w:rsidR="00374806">
        <w:t>ents</w:t>
      </w:r>
      <w:proofErr w:type="gramEnd"/>
      <w:r w:rsidR="00374806">
        <w:t xml:space="preserve">, the two </w:t>
      </w:r>
      <w:proofErr w:type="spellStart"/>
      <w:r w:rsidR="00374806">
        <w:t>gNBs</w:t>
      </w:r>
      <w:proofErr w:type="spellEnd"/>
      <w:r w:rsidR="00374806">
        <w:t xml:space="preserve"> can exchange</w:t>
      </w:r>
      <w:r w:rsidR="00094E1A">
        <w:t xml:space="preserve"> their semi-static </w:t>
      </w:r>
      <w:r w:rsidR="00625C53">
        <w:t xml:space="preserve">slot format configurations to manage their scheduling decisions. From the UE side, </w:t>
      </w:r>
      <w:r w:rsidR="005E7CE0">
        <w:t xml:space="preserve">the set of symbols colliding at each occasion and their directions are fixed. </w:t>
      </w:r>
      <w:r w:rsidR="005E7CE0" w:rsidRPr="00374806">
        <w:t>Hence, the semi-static slot format configurations of the two serving cells are needed to be exchanged once between the processing units of each cell group</w:t>
      </w:r>
      <w:r w:rsidR="005E7CE0">
        <w:t>. In an asynchronous deployment,</w:t>
      </w:r>
      <w:r w:rsidR="00374806">
        <w:t xml:space="preserve"> the set of symbols colliding</w:t>
      </w:r>
      <w:r w:rsidR="005E7CE0">
        <w:t xml:space="preserve"> at each uplink occasion is not fixed since the uplink slots can be shifted relative to each other in the time domain. Hence, </w:t>
      </w:r>
      <w:r w:rsidR="004620B1">
        <w:t>coordinating the slot format configurations</w:t>
      </w:r>
      <w:r w:rsidR="005E7CE0">
        <w:t xml:space="preserve"> at the network side </w:t>
      </w:r>
      <w:r w:rsidR="004620B1">
        <w:t xml:space="preserve">cannot be done. From the UE side, the list of the symbols that potentially colliding is changing as the slots move around relative to each other in the time domain. In such a case, a special case of the proposed solution can be adopted. </w:t>
      </w:r>
      <w:proofErr w:type="gramStart"/>
      <w:r w:rsidR="004620B1">
        <w:t>In particular, for</w:t>
      </w:r>
      <w:proofErr w:type="gramEnd"/>
      <w:r w:rsidR="004620B1">
        <w:t xml:space="preserve"> each uplink transmission, </w:t>
      </w:r>
      <w:r w:rsidR="004620B1" w:rsidRPr="00374806">
        <w:t>the UE assumes an uplink transmission is taking place on the other cell group, and always selects its power from set 2. In other words, the UE is only configured with one set of maximum allowed powers, P_NR1 and P_NR2, and does not expect to have P_NR1+P_NR2 &gt; P_NN.</w:t>
      </w:r>
    </w:p>
    <w:p w14:paraId="17A8C185" w14:textId="4CAD48E1" w:rsidR="00F725E5" w:rsidRDefault="007E0316" w:rsidP="00F50711">
      <w:pPr>
        <w:jc w:val="both"/>
      </w:pPr>
      <w:r>
        <w:t>Based on the above discussions, we propose:</w:t>
      </w:r>
    </w:p>
    <w:p w14:paraId="1D136146" w14:textId="77777777" w:rsidR="002E7AA9" w:rsidRDefault="002E7AA9" w:rsidP="00F50711">
      <w:pPr>
        <w:jc w:val="both"/>
      </w:pPr>
    </w:p>
    <w:p w14:paraId="384BC4EF" w14:textId="2BECFF05" w:rsidR="002E7AA9" w:rsidRDefault="007E0316" w:rsidP="002E7AA9">
      <w:pPr>
        <w:jc w:val="both"/>
        <w:rPr>
          <w:b/>
        </w:rPr>
      </w:pPr>
      <w:r w:rsidRPr="007E0316">
        <w:rPr>
          <w:b/>
        </w:rPr>
        <w:lastRenderedPageBreak/>
        <w:t xml:space="preserve">Proposal 1: </w:t>
      </w:r>
      <w:r w:rsidR="002E7AA9">
        <w:rPr>
          <w:b/>
        </w:rPr>
        <w:t>For uplink power control of synchronous NN-DC, the UE is configured with:</w:t>
      </w:r>
    </w:p>
    <w:p w14:paraId="7622BA52" w14:textId="1B8099A6" w:rsidR="002E7AA9" w:rsidRPr="002E7AA9" w:rsidRDefault="002E7AA9" w:rsidP="002E7AA9">
      <w:pPr>
        <w:pStyle w:val="ListParagraph"/>
        <w:numPr>
          <w:ilvl w:val="0"/>
          <w:numId w:val="9"/>
        </w:numPr>
        <w:jc w:val="both"/>
        <w:rPr>
          <w:rFonts w:ascii="Times New Roman" w:hAnsi="Times New Roman"/>
          <w:b/>
          <w:sz w:val="20"/>
        </w:rPr>
      </w:pPr>
      <w:r w:rsidRPr="002E7AA9">
        <w:rPr>
          <w:rFonts w:ascii="Times New Roman" w:hAnsi="Times New Roman"/>
          <w:b/>
          <w:sz w:val="20"/>
        </w:rPr>
        <w:t>Two sets of maximum allowed powers for each cell group</w:t>
      </w:r>
    </w:p>
    <w:p w14:paraId="2D52C0DE" w14:textId="77777777" w:rsidR="002E7AA9" w:rsidRPr="002E7AA9" w:rsidRDefault="002E7AA9" w:rsidP="002E7AA9">
      <w:pPr>
        <w:pStyle w:val="ListParagraph"/>
        <w:numPr>
          <w:ilvl w:val="1"/>
          <w:numId w:val="9"/>
        </w:numPr>
        <w:jc w:val="both"/>
        <w:rPr>
          <w:rFonts w:ascii="Times New Roman" w:hAnsi="Times New Roman"/>
          <w:b/>
          <w:sz w:val="20"/>
        </w:rPr>
      </w:pPr>
      <w:r w:rsidRPr="002E7AA9">
        <w:rPr>
          <w:rFonts w:ascii="Times New Roman" w:hAnsi="Times New Roman"/>
          <w:b/>
          <w:sz w:val="20"/>
        </w:rPr>
        <w:t>Set1 = {P_NR</w:t>
      </w:r>
      <w:proofErr w:type="gramStart"/>
      <w:r w:rsidRPr="002E7AA9">
        <w:rPr>
          <w:rFonts w:ascii="Times New Roman" w:hAnsi="Times New Roman"/>
          <w:b/>
          <w:sz w:val="20"/>
        </w:rPr>
        <w:t>1,P</w:t>
      </w:r>
      <w:proofErr w:type="gramEnd"/>
      <w:r w:rsidRPr="002E7AA9">
        <w:rPr>
          <w:rFonts w:ascii="Times New Roman" w:hAnsi="Times New Roman"/>
          <w:b/>
          <w:sz w:val="20"/>
        </w:rPr>
        <w:t xml:space="preserve">_NR2}, where </w:t>
      </w:r>
      <w:proofErr w:type="spellStart"/>
      <w:r w:rsidRPr="002E7AA9">
        <w:rPr>
          <w:rFonts w:ascii="Times New Roman" w:hAnsi="Times New Roman"/>
          <w:b/>
          <w:sz w:val="20"/>
        </w:rPr>
        <w:t>P_NRi</w:t>
      </w:r>
      <w:proofErr w:type="spellEnd"/>
      <w:r w:rsidRPr="002E7AA9">
        <w:rPr>
          <w:rFonts w:ascii="Times New Roman" w:hAnsi="Times New Roman"/>
          <w:b/>
          <w:sz w:val="20"/>
        </w:rPr>
        <w:t xml:space="preserve"> is the maximum allowed power of cell group </w:t>
      </w:r>
      <w:proofErr w:type="spellStart"/>
      <w:r w:rsidRPr="002E7AA9">
        <w:rPr>
          <w:rFonts w:ascii="Times New Roman" w:hAnsi="Times New Roman"/>
          <w:b/>
          <w:sz w:val="20"/>
        </w:rPr>
        <w:t>i</w:t>
      </w:r>
      <w:proofErr w:type="spellEnd"/>
      <w:r w:rsidRPr="002E7AA9">
        <w:rPr>
          <w:rFonts w:ascii="Times New Roman" w:hAnsi="Times New Roman"/>
          <w:b/>
          <w:sz w:val="20"/>
        </w:rPr>
        <w:t>, and P_NR1+P_NR2 &lt; = &gt; P_NN. P_NN is the maximum allowed power across all serving cells defined for NN-DC operation.</w:t>
      </w:r>
    </w:p>
    <w:p w14:paraId="5ABDDFD6" w14:textId="77777777" w:rsidR="002E7AA9" w:rsidRPr="002E7AA9" w:rsidRDefault="002E7AA9" w:rsidP="002E7AA9">
      <w:pPr>
        <w:pStyle w:val="ListParagraph"/>
        <w:numPr>
          <w:ilvl w:val="1"/>
          <w:numId w:val="9"/>
        </w:numPr>
        <w:jc w:val="both"/>
        <w:rPr>
          <w:rFonts w:ascii="Times New Roman" w:hAnsi="Times New Roman"/>
          <w:b/>
          <w:sz w:val="20"/>
        </w:rPr>
      </w:pPr>
      <w:r w:rsidRPr="002E7AA9">
        <w:rPr>
          <w:rFonts w:ascii="Times New Roman" w:hAnsi="Times New Roman"/>
          <w:b/>
          <w:sz w:val="20"/>
        </w:rPr>
        <w:t>Set 2 = {P_NR1</w:t>
      </w:r>
      <w:proofErr w:type="gramStart"/>
      <w:r w:rsidRPr="002E7AA9">
        <w:rPr>
          <w:rFonts w:ascii="Times New Roman" w:hAnsi="Times New Roman"/>
          <w:b/>
          <w:sz w:val="20"/>
        </w:rPr>
        <w:t>’,P</w:t>
      </w:r>
      <w:proofErr w:type="gramEnd"/>
      <w:r w:rsidRPr="002E7AA9">
        <w:rPr>
          <w:rFonts w:ascii="Times New Roman" w:hAnsi="Times New Roman"/>
          <w:b/>
          <w:sz w:val="20"/>
        </w:rPr>
        <w:t>_NR2’}, where P_NR1’+P_NR2’ &lt;= P_NN.</w:t>
      </w:r>
    </w:p>
    <w:p w14:paraId="4140F0C1" w14:textId="77777777" w:rsidR="002E7AA9" w:rsidRPr="002E7AA9" w:rsidRDefault="002E7AA9" w:rsidP="002E7AA9">
      <w:pPr>
        <w:pStyle w:val="ListParagraph"/>
        <w:numPr>
          <w:ilvl w:val="0"/>
          <w:numId w:val="9"/>
        </w:numPr>
        <w:jc w:val="both"/>
        <w:rPr>
          <w:rFonts w:ascii="Times New Roman" w:hAnsi="Times New Roman"/>
          <w:b/>
          <w:sz w:val="20"/>
        </w:rPr>
      </w:pPr>
      <w:r w:rsidRPr="002E7AA9">
        <w:rPr>
          <w:rFonts w:ascii="Times New Roman" w:hAnsi="Times New Roman"/>
          <w:b/>
          <w:sz w:val="20"/>
        </w:rPr>
        <w:t>For any FDD serving cell, a UE is configured with a UE-specific DL/UL configuration.</w:t>
      </w:r>
    </w:p>
    <w:p w14:paraId="147ECF8B" w14:textId="7D291C31" w:rsidR="002E7AA9" w:rsidRDefault="002E7AA9" w:rsidP="002E7AA9">
      <w:pPr>
        <w:jc w:val="both"/>
        <w:rPr>
          <w:b/>
        </w:rPr>
      </w:pPr>
      <w:r>
        <w:rPr>
          <w:b/>
        </w:rPr>
        <w:t xml:space="preserve">For uplink transmission on a serving cell of </w:t>
      </w:r>
      <w:proofErr w:type="spellStart"/>
      <w:r>
        <w:rPr>
          <w:b/>
        </w:rPr>
        <w:t>CGi</w:t>
      </w:r>
      <w:proofErr w:type="spellEnd"/>
      <w:r>
        <w:rPr>
          <w:b/>
        </w:rPr>
        <w:t>, the UE takes the union of the overlapping symbols of all serving cells of the other cell group. Then,</w:t>
      </w:r>
    </w:p>
    <w:p w14:paraId="2D2B6D6A" w14:textId="7E22BBB3" w:rsidR="002E7AA9" w:rsidRDefault="002E7AA9" w:rsidP="002E7AA9">
      <w:pPr>
        <w:pStyle w:val="ListParagraph"/>
        <w:numPr>
          <w:ilvl w:val="0"/>
          <w:numId w:val="10"/>
        </w:numPr>
        <w:jc w:val="both"/>
        <w:rPr>
          <w:rFonts w:ascii="Times New Roman" w:hAnsi="Times New Roman"/>
          <w:b/>
          <w:sz w:val="20"/>
        </w:rPr>
      </w:pPr>
      <w:r w:rsidRPr="002E7AA9">
        <w:rPr>
          <w:rFonts w:ascii="Times New Roman" w:hAnsi="Times New Roman"/>
          <w:b/>
          <w:sz w:val="20"/>
        </w:rPr>
        <w:t xml:space="preserve">If the union set contains only symbols </w:t>
      </w:r>
      <w:r>
        <w:rPr>
          <w:rFonts w:ascii="Times New Roman" w:hAnsi="Times New Roman"/>
          <w:b/>
          <w:sz w:val="20"/>
        </w:rPr>
        <w:t>whose directions are set semi-statically to `downlink’, the UE chooses the maximum power of the serving cell from set 1.</w:t>
      </w:r>
    </w:p>
    <w:p w14:paraId="1587CDC6" w14:textId="6C01E8FB" w:rsidR="002E7AA9" w:rsidRDefault="002E7AA9" w:rsidP="002E7AA9">
      <w:pPr>
        <w:pStyle w:val="ListParagraph"/>
        <w:numPr>
          <w:ilvl w:val="0"/>
          <w:numId w:val="10"/>
        </w:numPr>
        <w:jc w:val="both"/>
        <w:rPr>
          <w:rFonts w:ascii="Times New Roman" w:hAnsi="Times New Roman"/>
          <w:b/>
          <w:sz w:val="20"/>
        </w:rPr>
      </w:pPr>
      <w:r>
        <w:rPr>
          <w:rFonts w:ascii="Times New Roman" w:hAnsi="Times New Roman"/>
          <w:b/>
          <w:sz w:val="20"/>
        </w:rPr>
        <w:t xml:space="preserve">Otherwise, the maximum power of the serving cell is selected from set 2. </w:t>
      </w:r>
    </w:p>
    <w:p w14:paraId="2053E4DD" w14:textId="63ADD137" w:rsidR="002E7AA9" w:rsidRDefault="002E7AA9" w:rsidP="002E7AA9">
      <w:pPr>
        <w:jc w:val="both"/>
        <w:rPr>
          <w:b/>
        </w:rPr>
      </w:pPr>
    </w:p>
    <w:p w14:paraId="6A7AAD23" w14:textId="32B0B3AD" w:rsidR="002E7AA9" w:rsidRDefault="002E7AA9" w:rsidP="002E7AA9">
      <w:pPr>
        <w:jc w:val="both"/>
        <w:rPr>
          <w:b/>
        </w:rPr>
      </w:pPr>
      <w:r>
        <w:rPr>
          <w:b/>
        </w:rPr>
        <w:t>Proposal 2: For uplink power control of asynchronous NN-DC, the UE is configured with:</w:t>
      </w:r>
    </w:p>
    <w:p w14:paraId="06AA3471" w14:textId="38D9ADF3" w:rsidR="002E7AA9" w:rsidRPr="002E7AA9" w:rsidRDefault="002E7AA9" w:rsidP="002E7AA9">
      <w:pPr>
        <w:pStyle w:val="ListParagraph"/>
        <w:numPr>
          <w:ilvl w:val="0"/>
          <w:numId w:val="9"/>
        </w:numPr>
        <w:jc w:val="both"/>
        <w:rPr>
          <w:rFonts w:ascii="Times New Roman" w:hAnsi="Times New Roman"/>
          <w:b/>
          <w:sz w:val="20"/>
        </w:rPr>
      </w:pPr>
      <w:r>
        <w:rPr>
          <w:rFonts w:ascii="Times New Roman" w:hAnsi="Times New Roman"/>
          <w:b/>
          <w:sz w:val="20"/>
        </w:rPr>
        <w:t>One set</w:t>
      </w:r>
      <w:r w:rsidRPr="002E7AA9">
        <w:rPr>
          <w:rFonts w:ascii="Times New Roman" w:hAnsi="Times New Roman"/>
          <w:b/>
          <w:sz w:val="20"/>
        </w:rPr>
        <w:t xml:space="preserve"> of maximum allowed powers for each cell group</w:t>
      </w:r>
    </w:p>
    <w:p w14:paraId="0BD7F0A2" w14:textId="31D24F0D" w:rsidR="002E7AA9" w:rsidRPr="002E7AA9" w:rsidRDefault="002E7AA9" w:rsidP="002E7AA9">
      <w:pPr>
        <w:pStyle w:val="ListParagraph"/>
        <w:numPr>
          <w:ilvl w:val="1"/>
          <w:numId w:val="9"/>
        </w:numPr>
        <w:jc w:val="both"/>
        <w:rPr>
          <w:rFonts w:ascii="Times New Roman" w:hAnsi="Times New Roman"/>
          <w:b/>
          <w:sz w:val="20"/>
        </w:rPr>
      </w:pPr>
      <w:r>
        <w:rPr>
          <w:rFonts w:ascii="Times New Roman" w:hAnsi="Times New Roman"/>
          <w:b/>
          <w:sz w:val="20"/>
        </w:rPr>
        <w:t>Set 1</w:t>
      </w:r>
      <w:r w:rsidRPr="002E7AA9">
        <w:rPr>
          <w:rFonts w:ascii="Times New Roman" w:hAnsi="Times New Roman"/>
          <w:b/>
          <w:sz w:val="20"/>
        </w:rPr>
        <w:t xml:space="preserve"> = {P_NR</w:t>
      </w:r>
      <w:proofErr w:type="gramStart"/>
      <w:r w:rsidRPr="002E7AA9">
        <w:rPr>
          <w:rFonts w:ascii="Times New Roman" w:hAnsi="Times New Roman"/>
          <w:b/>
          <w:sz w:val="20"/>
        </w:rPr>
        <w:t>1,P</w:t>
      </w:r>
      <w:proofErr w:type="gramEnd"/>
      <w:r w:rsidRPr="002E7AA9">
        <w:rPr>
          <w:rFonts w:ascii="Times New Roman" w:hAnsi="Times New Roman"/>
          <w:b/>
          <w:sz w:val="20"/>
        </w:rPr>
        <w:t>_NR2}, where P_NR1+P_NR2 &lt;= P_NN.</w:t>
      </w:r>
    </w:p>
    <w:p w14:paraId="05469366" w14:textId="78FA0E61" w:rsidR="00046296" w:rsidRPr="00846045" w:rsidRDefault="00846045" w:rsidP="00846045">
      <w:pPr>
        <w:jc w:val="both"/>
        <w:rPr>
          <w:b/>
        </w:rPr>
      </w:pPr>
      <w:r>
        <w:rPr>
          <w:b/>
        </w:rPr>
        <w:t xml:space="preserve">For uplink transmission on a serving cell of </w:t>
      </w:r>
      <w:proofErr w:type="spellStart"/>
      <w:r>
        <w:rPr>
          <w:b/>
        </w:rPr>
        <w:t>CGi</w:t>
      </w:r>
      <w:proofErr w:type="spellEnd"/>
      <w:r>
        <w:rPr>
          <w:b/>
        </w:rPr>
        <w:t xml:space="preserve">, the UE sets the maximum power to </w:t>
      </w:r>
      <w:proofErr w:type="spellStart"/>
      <w:r>
        <w:rPr>
          <w:b/>
        </w:rPr>
        <w:t>P_NRi</w:t>
      </w:r>
      <w:proofErr w:type="spellEnd"/>
      <w:r>
        <w:rPr>
          <w:b/>
        </w:rPr>
        <w:t>. The UE does not expect the sum power taken over all serving cells of the two cell groups to be larger than P_NN.</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47BB6A40" w:rsidR="00DA24FA" w:rsidRDefault="004F69E9" w:rsidP="004F69E9">
      <w:pPr>
        <w:pStyle w:val="Caption"/>
        <w:jc w:val="both"/>
        <w:rPr>
          <w:b w:val="0"/>
          <w:szCs w:val="22"/>
        </w:rPr>
      </w:pPr>
      <w:bookmarkStart w:id="3" w:name="_Ref450583331"/>
      <w:bookmarkEnd w:id="3"/>
      <w:r>
        <w:rPr>
          <w:b w:val="0"/>
          <w:szCs w:val="22"/>
        </w:rPr>
        <w:t xml:space="preserve">This contribution paper discussed a power control scheme applicable to Rel. 16 NR-NR dual connectivity under the synchronous and asynchronous deployments. Based on the discussions in the paper, the following </w:t>
      </w:r>
      <w:r w:rsidR="00EA7959">
        <w:rPr>
          <w:b w:val="0"/>
          <w:szCs w:val="22"/>
        </w:rPr>
        <w:t>proposals are made</w:t>
      </w:r>
      <w:r>
        <w:rPr>
          <w:b w:val="0"/>
          <w:szCs w:val="22"/>
        </w:rPr>
        <w:t>:</w:t>
      </w:r>
    </w:p>
    <w:p w14:paraId="35754EE3" w14:textId="77777777" w:rsidR="004F69E9" w:rsidRDefault="004F69E9" w:rsidP="004F69E9">
      <w:pPr>
        <w:jc w:val="both"/>
        <w:rPr>
          <w:b/>
        </w:rPr>
      </w:pPr>
      <w:r w:rsidRPr="007E0316">
        <w:rPr>
          <w:b/>
        </w:rPr>
        <w:t xml:space="preserve">Proposal 1: </w:t>
      </w:r>
      <w:r>
        <w:rPr>
          <w:b/>
        </w:rPr>
        <w:t>For uplink power control of synchronous NN-DC, the UE is configured with:</w:t>
      </w:r>
    </w:p>
    <w:p w14:paraId="70603CFE" w14:textId="77777777" w:rsidR="004F69E9" w:rsidRPr="002E7AA9" w:rsidRDefault="004F69E9" w:rsidP="004F69E9">
      <w:pPr>
        <w:pStyle w:val="ListParagraph"/>
        <w:numPr>
          <w:ilvl w:val="0"/>
          <w:numId w:val="9"/>
        </w:numPr>
        <w:jc w:val="both"/>
        <w:rPr>
          <w:rFonts w:ascii="Times New Roman" w:hAnsi="Times New Roman"/>
          <w:b/>
          <w:sz w:val="20"/>
        </w:rPr>
      </w:pPr>
      <w:r w:rsidRPr="002E7AA9">
        <w:rPr>
          <w:rFonts w:ascii="Times New Roman" w:hAnsi="Times New Roman"/>
          <w:b/>
          <w:sz w:val="20"/>
        </w:rPr>
        <w:t>Two sets of maximum allowed powers for each cell group</w:t>
      </w:r>
    </w:p>
    <w:p w14:paraId="3710D702" w14:textId="77777777" w:rsidR="004F69E9" w:rsidRPr="002E7AA9" w:rsidRDefault="004F69E9" w:rsidP="004F69E9">
      <w:pPr>
        <w:pStyle w:val="ListParagraph"/>
        <w:numPr>
          <w:ilvl w:val="1"/>
          <w:numId w:val="9"/>
        </w:numPr>
        <w:jc w:val="both"/>
        <w:rPr>
          <w:rFonts w:ascii="Times New Roman" w:hAnsi="Times New Roman"/>
          <w:b/>
          <w:sz w:val="20"/>
        </w:rPr>
      </w:pPr>
      <w:r w:rsidRPr="002E7AA9">
        <w:rPr>
          <w:rFonts w:ascii="Times New Roman" w:hAnsi="Times New Roman"/>
          <w:b/>
          <w:sz w:val="20"/>
        </w:rPr>
        <w:t>Set1 = {P_NR</w:t>
      </w:r>
      <w:proofErr w:type="gramStart"/>
      <w:r w:rsidRPr="002E7AA9">
        <w:rPr>
          <w:rFonts w:ascii="Times New Roman" w:hAnsi="Times New Roman"/>
          <w:b/>
          <w:sz w:val="20"/>
        </w:rPr>
        <w:t>1,P</w:t>
      </w:r>
      <w:proofErr w:type="gramEnd"/>
      <w:r w:rsidRPr="002E7AA9">
        <w:rPr>
          <w:rFonts w:ascii="Times New Roman" w:hAnsi="Times New Roman"/>
          <w:b/>
          <w:sz w:val="20"/>
        </w:rPr>
        <w:t xml:space="preserve">_NR2}, where </w:t>
      </w:r>
      <w:proofErr w:type="spellStart"/>
      <w:r w:rsidRPr="002E7AA9">
        <w:rPr>
          <w:rFonts w:ascii="Times New Roman" w:hAnsi="Times New Roman"/>
          <w:b/>
          <w:sz w:val="20"/>
        </w:rPr>
        <w:t>P_NRi</w:t>
      </w:r>
      <w:proofErr w:type="spellEnd"/>
      <w:r w:rsidRPr="002E7AA9">
        <w:rPr>
          <w:rFonts w:ascii="Times New Roman" w:hAnsi="Times New Roman"/>
          <w:b/>
          <w:sz w:val="20"/>
        </w:rPr>
        <w:t xml:space="preserve"> is the maximum allowed power of cell group </w:t>
      </w:r>
      <w:proofErr w:type="spellStart"/>
      <w:r w:rsidRPr="002E7AA9">
        <w:rPr>
          <w:rFonts w:ascii="Times New Roman" w:hAnsi="Times New Roman"/>
          <w:b/>
          <w:sz w:val="20"/>
        </w:rPr>
        <w:t>i</w:t>
      </w:r>
      <w:proofErr w:type="spellEnd"/>
      <w:r w:rsidRPr="002E7AA9">
        <w:rPr>
          <w:rFonts w:ascii="Times New Roman" w:hAnsi="Times New Roman"/>
          <w:b/>
          <w:sz w:val="20"/>
        </w:rPr>
        <w:t>, and P_NR1+P_NR2 &lt; = &gt; P_NN. P_NN is the maximum allowed power across all serving cells defined for NN-DC operation.</w:t>
      </w:r>
    </w:p>
    <w:p w14:paraId="1C152F96" w14:textId="77777777" w:rsidR="004F69E9" w:rsidRPr="002E7AA9" w:rsidRDefault="004F69E9" w:rsidP="004F69E9">
      <w:pPr>
        <w:pStyle w:val="ListParagraph"/>
        <w:numPr>
          <w:ilvl w:val="1"/>
          <w:numId w:val="9"/>
        </w:numPr>
        <w:jc w:val="both"/>
        <w:rPr>
          <w:rFonts w:ascii="Times New Roman" w:hAnsi="Times New Roman"/>
          <w:b/>
          <w:sz w:val="20"/>
        </w:rPr>
      </w:pPr>
      <w:r w:rsidRPr="002E7AA9">
        <w:rPr>
          <w:rFonts w:ascii="Times New Roman" w:hAnsi="Times New Roman"/>
          <w:b/>
          <w:sz w:val="20"/>
        </w:rPr>
        <w:t>Set 2 = {P_NR1</w:t>
      </w:r>
      <w:proofErr w:type="gramStart"/>
      <w:r w:rsidRPr="002E7AA9">
        <w:rPr>
          <w:rFonts w:ascii="Times New Roman" w:hAnsi="Times New Roman"/>
          <w:b/>
          <w:sz w:val="20"/>
        </w:rPr>
        <w:t>’,P</w:t>
      </w:r>
      <w:proofErr w:type="gramEnd"/>
      <w:r w:rsidRPr="002E7AA9">
        <w:rPr>
          <w:rFonts w:ascii="Times New Roman" w:hAnsi="Times New Roman"/>
          <w:b/>
          <w:sz w:val="20"/>
        </w:rPr>
        <w:t>_NR2’}, where P_NR1’+P_NR2’ &lt;= P_NN.</w:t>
      </w:r>
    </w:p>
    <w:p w14:paraId="73CF4862" w14:textId="77777777" w:rsidR="004F69E9" w:rsidRPr="002E7AA9" w:rsidRDefault="004F69E9" w:rsidP="004F69E9">
      <w:pPr>
        <w:pStyle w:val="ListParagraph"/>
        <w:numPr>
          <w:ilvl w:val="0"/>
          <w:numId w:val="9"/>
        </w:numPr>
        <w:jc w:val="both"/>
        <w:rPr>
          <w:rFonts w:ascii="Times New Roman" w:hAnsi="Times New Roman"/>
          <w:b/>
          <w:sz w:val="20"/>
        </w:rPr>
      </w:pPr>
      <w:r w:rsidRPr="002E7AA9">
        <w:rPr>
          <w:rFonts w:ascii="Times New Roman" w:hAnsi="Times New Roman"/>
          <w:b/>
          <w:sz w:val="20"/>
        </w:rPr>
        <w:t>For any FDD serving cell, a UE is configured with a UE-specific DL/UL configuration.</w:t>
      </w:r>
    </w:p>
    <w:p w14:paraId="7218CEF6" w14:textId="77777777" w:rsidR="004F69E9" w:rsidRDefault="004F69E9" w:rsidP="004F69E9">
      <w:pPr>
        <w:jc w:val="both"/>
        <w:rPr>
          <w:b/>
        </w:rPr>
      </w:pPr>
      <w:r>
        <w:rPr>
          <w:b/>
        </w:rPr>
        <w:t xml:space="preserve">For uplink transmission on a serving cell of </w:t>
      </w:r>
      <w:proofErr w:type="spellStart"/>
      <w:r>
        <w:rPr>
          <w:b/>
        </w:rPr>
        <w:t>CGi</w:t>
      </w:r>
      <w:proofErr w:type="spellEnd"/>
      <w:r>
        <w:rPr>
          <w:b/>
        </w:rPr>
        <w:t>, the UE takes the union of the overlapping symbols of all serving cells of the other cell group. Then,</w:t>
      </w:r>
    </w:p>
    <w:p w14:paraId="3CC89AD8" w14:textId="77777777" w:rsidR="004F69E9" w:rsidRDefault="004F69E9" w:rsidP="004F69E9">
      <w:pPr>
        <w:pStyle w:val="ListParagraph"/>
        <w:numPr>
          <w:ilvl w:val="0"/>
          <w:numId w:val="10"/>
        </w:numPr>
        <w:jc w:val="both"/>
        <w:rPr>
          <w:rFonts w:ascii="Times New Roman" w:hAnsi="Times New Roman"/>
          <w:b/>
          <w:sz w:val="20"/>
        </w:rPr>
      </w:pPr>
      <w:r w:rsidRPr="002E7AA9">
        <w:rPr>
          <w:rFonts w:ascii="Times New Roman" w:hAnsi="Times New Roman"/>
          <w:b/>
          <w:sz w:val="20"/>
        </w:rPr>
        <w:t xml:space="preserve">If the union set contains only symbols </w:t>
      </w:r>
      <w:r>
        <w:rPr>
          <w:rFonts w:ascii="Times New Roman" w:hAnsi="Times New Roman"/>
          <w:b/>
          <w:sz w:val="20"/>
        </w:rPr>
        <w:t>whose directions are set semi-statically to `downlink’, the UE chooses the maximum power of the serving cell from set 1.</w:t>
      </w:r>
    </w:p>
    <w:p w14:paraId="76E92476" w14:textId="77777777" w:rsidR="004F69E9" w:rsidRDefault="004F69E9" w:rsidP="004F69E9">
      <w:pPr>
        <w:pStyle w:val="ListParagraph"/>
        <w:numPr>
          <w:ilvl w:val="0"/>
          <w:numId w:val="10"/>
        </w:numPr>
        <w:jc w:val="both"/>
        <w:rPr>
          <w:rFonts w:ascii="Times New Roman" w:hAnsi="Times New Roman"/>
          <w:b/>
          <w:sz w:val="20"/>
        </w:rPr>
      </w:pPr>
      <w:r>
        <w:rPr>
          <w:rFonts w:ascii="Times New Roman" w:hAnsi="Times New Roman"/>
          <w:b/>
          <w:sz w:val="20"/>
        </w:rPr>
        <w:t xml:space="preserve">Otherwise, the maximum power of the serving cell is selected from set 2. </w:t>
      </w:r>
    </w:p>
    <w:p w14:paraId="6928B475" w14:textId="77777777" w:rsidR="004F69E9" w:rsidRDefault="004F69E9" w:rsidP="004F69E9">
      <w:pPr>
        <w:jc w:val="both"/>
        <w:rPr>
          <w:b/>
        </w:rPr>
      </w:pPr>
    </w:p>
    <w:p w14:paraId="599FD46E" w14:textId="77777777" w:rsidR="004F69E9" w:rsidRDefault="004F69E9" w:rsidP="004F69E9">
      <w:pPr>
        <w:jc w:val="both"/>
        <w:rPr>
          <w:b/>
        </w:rPr>
      </w:pPr>
      <w:r>
        <w:rPr>
          <w:b/>
        </w:rPr>
        <w:t>Proposal 2: For uplink power control of asynchronous NN-DC, the UE is configured with:</w:t>
      </w:r>
    </w:p>
    <w:p w14:paraId="63A55753" w14:textId="77777777" w:rsidR="004F69E9" w:rsidRPr="002E7AA9" w:rsidRDefault="004F69E9" w:rsidP="004F69E9">
      <w:pPr>
        <w:pStyle w:val="ListParagraph"/>
        <w:numPr>
          <w:ilvl w:val="0"/>
          <w:numId w:val="9"/>
        </w:numPr>
        <w:jc w:val="both"/>
        <w:rPr>
          <w:rFonts w:ascii="Times New Roman" w:hAnsi="Times New Roman"/>
          <w:b/>
          <w:sz w:val="20"/>
        </w:rPr>
      </w:pPr>
      <w:r>
        <w:rPr>
          <w:rFonts w:ascii="Times New Roman" w:hAnsi="Times New Roman"/>
          <w:b/>
          <w:sz w:val="20"/>
        </w:rPr>
        <w:t>One set</w:t>
      </w:r>
      <w:r w:rsidRPr="002E7AA9">
        <w:rPr>
          <w:rFonts w:ascii="Times New Roman" w:hAnsi="Times New Roman"/>
          <w:b/>
          <w:sz w:val="20"/>
        </w:rPr>
        <w:t xml:space="preserve"> of maximum allowed powers for each cell group</w:t>
      </w:r>
    </w:p>
    <w:p w14:paraId="59140369" w14:textId="77777777" w:rsidR="004F69E9" w:rsidRPr="002E7AA9" w:rsidRDefault="004F69E9" w:rsidP="004F69E9">
      <w:pPr>
        <w:pStyle w:val="ListParagraph"/>
        <w:numPr>
          <w:ilvl w:val="1"/>
          <w:numId w:val="9"/>
        </w:numPr>
        <w:jc w:val="both"/>
        <w:rPr>
          <w:rFonts w:ascii="Times New Roman" w:hAnsi="Times New Roman"/>
          <w:b/>
          <w:sz w:val="20"/>
        </w:rPr>
      </w:pPr>
      <w:r>
        <w:rPr>
          <w:rFonts w:ascii="Times New Roman" w:hAnsi="Times New Roman"/>
          <w:b/>
          <w:sz w:val="20"/>
        </w:rPr>
        <w:t>Set 1</w:t>
      </w:r>
      <w:r w:rsidRPr="002E7AA9">
        <w:rPr>
          <w:rFonts w:ascii="Times New Roman" w:hAnsi="Times New Roman"/>
          <w:b/>
          <w:sz w:val="20"/>
        </w:rPr>
        <w:t xml:space="preserve"> = {P_NR</w:t>
      </w:r>
      <w:proofErr w:type="gramStart"/>
      <w:r w:rsidRPr="002E7AA9">
        <w:rPr>
          <w:rFonts w:ascii="Times New Roman" w:hAnsi="Times New Roman"/>
          <w:b/>
          <w:sz w:val="20"/>
        </w:rPr>
        <w:t>1,P</w:t>
      </w:r>
      <w:proofErr w:type="gramEnd"/>
      <w:r w:rsidRPr="002E7AA9">
        <w:rPr>
          <w:rFonts w:ascii="Times New Roman" w:hAnsi="Times New Roman"/>
          <w:b/>
          <w:sz w:val="20"/>
        </w:rPr>
        <w:t>_NR2}, where P_NR1+P_NR2 &lt;= P_NN.</w:t>
      </w:r>
    </w:p>
    <w:p w14:paraId="6FD3C170" w14:textId="77777777" w:rsidR="004F69E9" w:rsidRPr="00846045" w:rsidRDefault="004F69E9" w:rsidP="004F69E9">
      <w:pPr>
        <w:jc w:val="both"/>
        <w:rPr>
          <w:b/>
        </w:rPr>
      </w:pPr>
      <w:r>
        <w:rPr>
          <w:b/>
        </w:rPr>
        <w:t xml:space="preserve">For uplink transmission on a serving cell of </w:t>
      </w:r>
      <w:proofErr w:type="spellStart"/>
      <w:r>
        <w:rPr>
          <w:b/>
        </w:rPr>
        <w:t>CGi</w:t>
      </w:r>
      <w:proofErr w:type="spellEnd"/>
      <w:r>
        <w:rPr>
          <w:b/>
        </w:rPr>
        <w:t xml:space="preserve">, the UE sets the maximum power to </w:t>
      </w:r>
      <w:proofErr w:type="spellStart"/>
      <w:r>
        <w:rPr>
          <w:b/>
        </w:rPr>
        <w:t>P_NRi</w:t>
      </w:r>
      <w:proofErr w:type="spellEnd"/>
      <w:r>
        <w:rPr>
          <w:b/>
        </w:rPr>
        <w:t>. The UE does not expect the sum power taken over all serving cells of the two cell groups to be larger than P_NN.</w:t>
      </w:r>
    </w:p>
    <w:p w14:paraId="6C22B6F0" w14:textId="77777777" w:rsidR="004F69E9" w:rsidRPr="004F69E9" w:rsidRDefault="004F69E9" w:rsidP="004F69E9"/>
    <w:sectPr w:rsidR="004F69E9" w:rsidRPr="004F69E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95DA6" w14:textId="77777777" w:rsidR="00AD4802" w:rsidRDefault="00AD4802">
      <w:r>
        <w:separator/>
      </w:r>
    </w:p>
  </w:endnote>
  <w:endnote w:type="continuationSeparator" w:id="0">
    <w:p w14:paraId="6D5C9C0E" w14:textId="77777777" w:rsidR="00AD4802" w:rsidRDefault="00AD4802">
      <w:r>
        <w:continuationSeparator/>
      </w:r>
    </w:p>
  </w:endnote>
  <w:endnote w:type="continuationNotice" w:id="1">
    <w:p w14:paraId="4E38100A" w14:textId="77777777" w:rsidR="00AD4802" w:rsidRDefault="00AD4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4F688" w14:textId="77777777" w:rsidR="00AD4802" w:rsidRDefault="00AD4802">
      <w:r>
        <w:separator/>
      </w:r>
    </w:p>
  </w:footnote>
  <w:footnote w:type="continuationSeparator" w:id="0">
    <w:p w14:paraId="39908BEC" w14:textId="77777777" w:rsidR="00AD4802" w:rsidRDefault="00AD4802">
      <w:r>
        <w:continuationSeparator/>
      </w:r>
    </w:p>
  </w:footnote>
  <w:footnote w:type="continuationNotice" w:id="1">
    <w:p w14:paraId="3E04A414" w14:textId="77777777" w:rsidR="00AD4802" w:rsidRDefault="00AD4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8"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lvlOverride w:ilvl="0">
      <w:startOverride w:val="1"/>
    </w:lvlOverride>
  </w:num>
  <w:num w:numId="4">
    <w:abstractNumId w:val="10"/>
  </w:num>
  <w:num w:numId="5">
    <w:abstractNumId w:val="9"/>
  </w:num>
  <w:num w:numId="6">
    <w:abstractNumId w:val="4"/>
  </w:num>
  <w:num w:numId="7">
    <w:abstractNumId w:val="2"/>
  </w:num>
  <w:num w:numId="8">
    <w:abstractNumId w:val="7"/>
  </w:num>
  <w:num w:numId="9">
    <w:abstractNumId w:val="6"/>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2AA"/>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20"/>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0F2"/>
    <w:rsid w:val="00193987"/>
    <w:rsid w:val="00194955"/>
    <w:rsid w:val="0019573B"/>
    <w:rsid w:val="0019592C"/>
    <w:rsid w:val="00195C24"/>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148"/>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19F"/>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BC6"/>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C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3CA"/>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2D1"/>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4E7"/>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C50"/>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914"/>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02C"/>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59"/>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HR33RHYHUWRF-4-7900</_dlc_DocId>
    <_dlc_DocIdUrl xmlns="c06861ca-3f08-4d07-bff7-bb15bac121f4">
      <Url>https://projects.qualcomm.com/sites/pentari/_layouts/15/DocIdRedir.aspx?ID=HR33RHYHUWRF-4-7900</Url>
      <Description>HR33RHYHUWRF-4-7900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EA5810F2-0473-4904-9A3E-5A1467C11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5</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3</cp:revision>
  <cp:lastPrinted>2014-11-07T05:38:00Z</cp:lastPrinted>
  <dcterms:created xsi:type="dcterms:W3CDTF">2019-01-12T04:58:00Z</dcterms:created>
  <dcterms:modified xsi:type="dcterms:W3CDTF">2019-01-12T05:01:00Z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c35c5a65-96d4-45e0-be22-ff8ae81b3df2</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